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pacing w:val="40"/>
          <w:sz w:val="52"/>
          <w:highlight w:val="yellow"/>
        </w:rPr>
      </w:pPr>
    </w:p>
    <w:p>
      <w:pPr>
        <w:jc w:val="center"/>
        <w:rPr>
          <w:rFonts w:hint="eastAsia" w:eastAsiaTheme="minorEastAsia"/>
          <w:b/>
          <w:spacing w:val="40"/>
          <w:sz w:val="52"/>
          <w:lang w:eastAsia="zh-CN"/>
        </w:rPr>
      </w:pPr>
      <w:r>
        <w:rPr>
          <w:rFonts w:hint="eastAsia"/>
          <w:b/>
          <w:spacing w:val="40"/>
          <w:sz w:val="52"/>
          <w:lang w:eastAsia="zh-CN"/>
        </w:rPr>
        <w:t>金蝶云星空</w:t>
      </w:r>
    </w:p>
    <w:p>
      <w:pPr>
        <w:jc w:val="center"/>
        <w:rPr>
          <w:b/>
          <w:spacing w:val="40"/>
          <w:sz w:val="52"/>
        </w:rPr>
      </w:pPr>
      <w:r>
        <w:rPr>
          <w:rFonts w:hint="eastAsia"/>
          <w:b/>
          <w:spacing w:val="40"/>
          <w:sz w:val="52"/>
        </w:rPr>
        <w:t>网络安全等级保护</w:t>
      </w:r>
    </w:p>
    <w:p>
      <w:pPr>
        <w:jc w:val="center"/>
        <w:rPr>
          <w:b/>
          <w:i/>
        </w:rPr>
      </w:pPr>
    </w:p>
    <w:p/>
    <w:p>
      <w:pPr>
        <w:jc w:val="center"/>
        <w:rPr>
          <w:rFonts w:ascii="隶书" w:eastAsia="隶书"/>
          <w:sz w:val="84"/>
        </w:rPr>
      </w:pPr>
      <w:r>
        <w:rPr>
          <w:rFonts w:hint="eastAsia" w:ascii="隶书" w:eastAsia="隶书"/>
          <w:sz w:val="84"/>
        </w:rPr>
        <w:t>定</w:t>
      </w:r>
    </w:p>
    <w:p>
      <w:pPr>
        <w:jc w:val="center"/>
        <w:rPr>
          <w:rFonts w:ascii="隶书" w:eastAsia="隶书"/>
          <w:sz w:val="84"/>
        </w:rPr>
      </w:pPr>
      <w:r>
        <w:rPr>
          <w:rFonts w:hint="eastAsia" w:ascii="隶书" w:eastAsia="隶书"/>
          <w:sz w:val="84"/>
        </w:rPr>
        <w:t>级</w:t>
      </w:r>
    </w:p>
    <w:p>
      <w:pPr>
        <w:jc w:val="center"/>
        <w:rPr>
          <w:rFonts w:ascii="隶书" w:eastAsia="隶书"/>
          <w:sz w:val="84"/>
        </w:rPr>
      </w:pPr>
      <w:r>
        <w:rPr>
          <w:rFonts w:hint="eastAsia" w:ascii="隶书" w:eastAsia="隶书"/>
          <w:sz w:val="84"/>
        </w:rPr>
        <w:t>报</w:t>
      </w:r>
    </w:p>
    <w:p>
      <w:pPr>
        <w:jc w:val="center"/>
        <w:rPr>
          <w:rFonts w:ascii="隶书" w:eastAsia="隶书"/>
          <w:sz w:val="84"/>
        </w:rPr>
      </w:pPr>
      <w:r>
        <w:rPr>
          <w:rFonts w:hint="eastAsia" w:ascii="隶书" w:eastAsia="隶书"/>
          <w:sz w:val="84"/>
        </w:rPr>
        <w:t>告</w:t>
      </w:r>
    </w:p>
    <w:p/>
    <w:p/>
    <w:p/>
    <w:p/>
    <w:p/>
    <w:p>
      <w:pPr>
        <w:jc w:val="center"/>
        <w:rPr>
          <w:b/>
          <w:spacing w:val="40"/>
          <w:sz w:val="36"/>
          <w:szCs w:val="36"/>
        </w:rPr>
      </w:pPr>
      <w:r>
        <w:rPr>
          <w:rFonts w:hint="eastAsia"/>
          <w:b/>
          <w:spacing w:val="40"/>
          <w:sz w:val="36"/>
          <w:szCs w:val="36"/>
        </w:rPr>
        <w:t>（</w:t>
      </w:r>
      <w:bookmarkStart w:id="0" w:name="_Hlk186106737"/>
      <w:r>
        <w:rPr>
          <w:rFonts w:hint="eastAsia"/>
          <w:b/>
          <w:spacing w:val="40"/>
          <w:sz w:val="36"/>
          <w:szCs w:val="36"/>
        </w:rPr>
        <w:t>成都索贝数码科技股份有限公司</w:t>
      </w:r>
      <w:bookmarkEnd w:id="0"/>
      <w:r>
        <w:rPr>
          <w:rFonts w:hint="eastAsia"/>
          <w:b/>
          <w:spacing w:val="40"/>
          <w:sz w:val="36"/>
          <w:szCs w:val="36"/>
        </w:rPr>
        <w:t>）</w:t>
      </w:r>
    </w:p>
    <w:p>
      <w:pPr>
        <w:jc w:val="center"/>
        <w:rPr>
          <w:b/>
          <w:spacing w:val="40"/>
          <w:sz w:val="30"/>
          <w:szCs w:val="30"/>
        </w:rPr>
      </w:pPr>
      <w:r>
        <w:rPr>
          <w:rFonts w:hint="eastAsia"/>
          <w:b/>
          <w:spacing w:val="40"/>
          <w:sz w:val="30"/>
          <w:szCs w:val="30"/>
          <w:lang w:val="en-US" w:eastAsia="zh-CN"/>
        </w:rPr>
        <w:t>2025</w:t>
      </w:r>
      <w:r>
        <w:rPr>
          <w:rFonts w:hint="eastAsia"/>
          <w:b/>
          <w:spacing w:val="40"/>
          <w:sz w:val="30"/>
          <w:szCs w:val="30"/>
        </w:rPr>
        <w:t>年</w:t>
      </w:r>
      <w:r>
        <w:rPr>
          <w:rFonts w:hint="eastAsia"/>
          <w:b/>
          <w:spacing w:val="40"/>
          <w:sz w:val="30"/>
          <w:szCs w:val="30"/>
          <w:lang w:val="en-US" w:eastAsia="zh-CN"/>
        </w:rPr>
        <w:t>01</w:t>
      </w:r>
      <w:r>
        <w:rPr>
          <w:rFonts w:hint="eastAsia"/>
          <w:b/>
          <w:spacing w:val="40"/>
          <w:sz w:val="30"/>
          <w:szCs w:val="30"/>
        </w:rPr>
        <w:t>月</w:t>
      </w:r>
      <w:r>
        <w:rPr>
          <w:rFonts w:hint="eastAsia"/>
          <w:b/>
          <w:spacing w:val="40"/>
          <w:sz w:val="30"/>
          <w:szCs w:val="30"/>
          <w:lang w:val="en-US" w:eastAsia="zh-CN"/>
        </w:rPr>
        <w:t>03</w:t>
      </w:r>
      <w:r>
        <w:rPr>
          <w:rFonts w:hint="eastAsia"/>
          <w:b/>
          <w:spacing w:val="40"/>
          <w:sz w:val="30"/>
          <w:szCs w:val="30"/>
        </w:rPr>
        <w:t>日</w:t>
      </w:r>
    </w:p>
    <w:p>
      <w:pPr>
        <w:widowControl/>
        <w:jc w:val="left"/>
        <w:rPr>
          <w:rFonts w:ascii="宋体" w:hAnsi="宋体" w:eastAsia="宋体" w:cs="宋体"/>
          <w:kern w:val="0"/>
          <w:sz w:val="24"/>
          <w:szCs w:val="24"/>
        </w:rPr>
      </w:pPr>
      <w:r>
        <w:rPr>
          <w:rFonts w:ascii="宋体" w:hAnsi="宋体" w:eastAsia="宋体" w:cs="宋体"/>
          <w:kern w:val="0"/>
          <w:sz w:val="24"/>
          <w:szCs w:val="24"/>
        </w:rPr>
        <w:br w:type="page"/>
      </w:r>
    </w:p>
    <w:p>
      <w:pPr>
        <w:pStyle w:val="2"/>
        <w:rPr>
          <w:rFonts w:ascii="黑体" w:hAnsi="黑体" w:eastAsia="黑体" w:cs="宋体"/>
          <w:b w:val="0"/>
          <w:kern w:val="0"/>
          <w:sz w:val="28"/>
          <w:szCs w:val="28"/>
        </w:rPr>
      </w:pPr>
      <w:r>
        <w:rPr>
          <w:rFonts w:hint="eastAsia" w:ascii="黑体" w:hAnsi="黑体" w:eastAsia="黑体" w:cs="宋体"/>
          <w:kern w:val="0"/>
          <w:sz w:val="28"/>
          <w:szCs w:val="28"/>
        </w:rPr>
        <w:t>一、</w:t>
      </w:r>
      <w:r>
        <w:rPr>
          <w:rFonts w:hint="eastAsia" w:ascii="黑体" w:hAnsi="黑体" w:eastAsia="黑体" w:cs="宋体"/>
          <w:kern w:val="0"/>
          <w:sz w:val="28"/>
          <w:szCs w:val="28"/>
          <w:lang w:eastAsia="zh-CN"/>
        </w:rPr>
        <w:t>金蝶云星空</w:t>
      </w:r>
      <w:r>
        <w:rPr>
          <w:rFonts w:hint="eastAsia" w:ascii="黑体" w:hAnsi="黑体" w:eastAsia="黑体" w:cs="宋体"/>
          <w:kern w:val="0"/>
          <w:sz w:val="28"/>
          <w:szCs w:val="28"/>
        </w:rPr>
        <w:t>描述</w:t>
      </w:r>
    </w:p>
    <w:p>
      <w:pPr>
        <w:pStyle w:val="3"/>
        <w:rPr>
          <w:rFonts w:ascii="仿宋" w:hAnsi="仿宋" w:eastAsia="仿宋" w:cs="宋体"/>
          <w:kern w:val="0"/>
          <w:sz w:val="28"/>
          <w:szCs w:val="28"/>
        </w:rPr>
      </w:pPr>
      <w:r>
        <w:rPr>
          <w:rFonts w:hint="eastAsia" w:ascii="仿宋" w:hAnsi="仿宋" w:eastAsia="仿宋" w:cs="宋体"/>
          <w:kern w:val="0"/>
          <w:sz w:val="28"/>
          <w:szCs w:val="28"/>
        </w:rPr>
        <w:t>（一）系统概述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yellow"/>
          <w:lang w:val="en-US" w:eastAsia="zh-CN"/>
        </w:rPr>
        <w:t>该系统</w:t>
      </w:r>
      <w:r>
        <w:rPr>
          <w:rFonts w:hint="eastAsia" w:ascii="仿宋" w:hAnsi="仿宋" w:eastAsia="仿宋" w:cs="宋体"/>
          <w:kern w:val="0"/>
          <w:sz w:val="28"/>
          <w:szCs w:val="28"/>
          <w:highlight w:val="yellow"/>
        </w:rPr>
        <w:t>于</w:t>
      </w:r>
      <w:r>
        <w:rPr>
          <w:rFonts w:hint="eastAsia" w:ascii="仿宋" w:hAnsi="仿宋" w:eastAsia="仿宋" w:cs="宋体"/>
          <w:kern w:val="0"/>
          <w:sz w:val="28"/>
          <w:szCs w:val="28"/>
          <w:highlight w:val="yellow"/>
          <w:lang w:val="en-US" w:eastAsia="zh-CN"/>
        </w:rPr>
        <w:t>20XX</w:t>
      </w:r>
      <w:r>
        <w:rPr>
          <w:rFonts w:hint="eastAsia" w:ascii="仿宋" w:hAnsi="仿宋" w:eastAsia="仿宋" w:cs="宋体"/>
          <w:kern w:val="0"/>
          <w:sz w:val="28"/>
          <w:szCs w:val="28"/>
          <w:highlight w:val="yellow"/>
        </w:rPr>
        <w:t>年</w:t>
      </w:r>
      <w:r>
        <w:rPr>
          <w:rFonts w:hint="eastAsia" w:ascii="仿宋" w:hAnsi="仿宋" w:eastAsia="仿宋" w:cs="宋体"/>
          <w:kern w:val="0"/>
          <w:sz w:val="28"/>
          <w:szCs w:val="28"/>
          <w:highlight w:val="yellow"/>
          <w:lang w:val="en-US" w:eastAsia="zh-CN"/>
        </w:rPr>
        <w:t>XX</w:t>
      </w:r>
      <w:r>
        <w:rPr>
          <w:rFonts w:hint="eastAsia" w:ascii="仿宋" w:hAnsi="仿宋" w:eastAsia="仿宋" w:cs="宋体"/>
          <w:kern w:val="0"/>
          <w:sz w:val="28"/>
          <w:szCs w:val="28"/>
          <w:highlight w:val="yellow"/>
        </w:rPr>
        <w:t>月</w:t>
      </w:r>
      <w:r>
        <w:rPr>
          <w:rFonts w:hint="eastAsia" w:ascii="仿宋" w:hAnsi="仿宋" w:eastAsia="仿宋" w:cs="宋体"/>
          <w:kern w:val="0"/>
          <w:sz w:val="28"/>
          <w:szCs w:val="28"/>
          <w:highlight w:val="yellow"/>
          <w:lang w:val="en-US" w:eastAsia="zh-CN"/>
        </w:rPr>
        <w:t>XX</w:t>
      </w:r>
      <w:r>
        <w:rPr>
          <w:rFonts w:hint="eastAsia" w:ascii="仿宋" w:hAnsi="仿宋" w:eastAsia="仿宋" w:cs="宋体"/>
          <w:kern w:val="0"/>
          <w:sz w:val="28"/>
          <w:szCs w:val="28"/>
          <w:highlight w:val="yellow"/>
        </w:rPr>
        <w:t>日</w:t>
      </w:r>
      <w:r>
        <w:rPr>
          <w:rFonts w:hint="eastAsia" w:ascii="仿宋" w:hAnsi="仿宋" w:eastAsia="仿宋" w:cs="宋体"/>
          <w:kern w:val="0"/>
          <w:sz w:val="28"/>
          <w:szCs w:val="28"/>
          <w:highlight w:val="yellow"/>
          <w:lang w:val="en-US" w:eastAsia="zh-CN"/>
        </w:rPr>
        <w:t>上线运行</w:t>
      </w:r>
      <w:r>
        <w:rPr>
          <w:rFonts w:hint="eastAsia" w:ascii="仿宋" w:hAnsi="仿宋" w:eastAsia="仿宋" w:cs="宋体"/>
          <w:kern w:val="0"/>
          <w:sz w:val="28"/>
          <w:szCs w:val="28"/>
        </w:rPr>
        <w:t>。目前该系统由成都索贝数码科技股份有限公司</w:t>
      </w:r>
      <w:r>
        <w:rPr>
          <w:rFonts w:hint="eastAsia" w:ascii="仿宋" w:hAnsi="仿宋" w:eastAsia="仿宋" w:cs="宋体"/>
          <w:kern w:val="0"/>
          <w:sz w:val="28"/>
          <w:szCs w:val="28"/>
          <w:highlight w:val="yellow"/>
        </w:rPr>
        <w:t>总工办</w:t>
      </w:r>
      <w:r>
        <w:rPr>
          <w:rFonts w:hint="eastAsia" w:ascii="仿宋" w:hAnsi="仿宋" w:eastAsia="仿宋" w:cs="宋体"/>
          <w:kern w:val="0"/>
          <w:sz w:val="28"/>
          <w:szCs w:val="28"/>
        </w:rPr>
        <w:t>负责运行维护。</w:t>
      </w:r>
      <w:r>
        <w:rPr>
          <w:rFonts w:hint="eastAsia" w:ascii="仿宋" w:hAnsi="仿宋" w:eastAsia="仿宋" w:cs="宋体"/>
          <w:kern w:val="0"/>
          <w:sz w:val="28"/>
          <w:szCs w:val="28"/>
          <w:highlight w:val="yellow"/>
        </w:rPr>
        <w:t>成都索贝数码科技股份有限公司</w:t>
      </w:r>
      <w:r>
        <w:rPr>
          <w:rFonts w:hint="eastAsia" w:ascii="仿宋" w:hAnsi="仿宋" w:eastAsia="仿宋" w:cs="宋体"/>
          <w:kern w:val="0"/>
          <w:sz w:val="28"/>
          <w:szCs w:val="28"/>
        </w:rPr>
        <w:t>为该信息系统的责任单位。</w:t>
      </w:r>
    </w:p>
    <w:p>
      <w:pPr>
        <w:pStyle w:val="3"/>
        <w:rPr>
          <w:rFonts w:ascii="仿宋" w:hAnsi="仿宋" w:eastAsia="仿宋" w:cs="宋体"/>
          <w:kern w:val="0"/>
          <w:sz w:val="28"/>
          <w:szCs w:val="28"/>
        </w:rPr>
      </w:pPr>
      <w:r>
        <w:rPr>
          <w:rFonts w:hint="eastAsia" w:ascii="仿宋" w:hAnsi="仿宋" w:eastAsia="仿宋" w:cs="宋体"/>
          <w:kern w:val="0"/>
          <w:sz w:val="28"/>
          <w:szCs w:val="28"/>
        </w:rPr>
        <w:t>（二）网络架构描述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此系统是计算机及其相关的和配套的设备、设施构成的，是按照一定的应用目标和规</w:t>
      </w:r>
      <w:r>
        <w:rPr>
          <w:rFonts w:hint="eastAsia" w:ascii="仿宋" w:hAnsi="仿宋" w:eastAsia="仿宋" w:cs="宋体"/>
          <w:kern w:val="0"/>
          <w:sz w:val="28"/>
          <w:szCs w:val="28"/>
          <w:highlight w:val="none"/>
        </w:rPr>
        <w:t>则</w:t>
      </w:r>
      <w:r>
        <w:rPr>
          <w:rFonts w:hint="eastAsia" w:ascii="仿宋" w:hAnsi="仿宋" w:eastAsia="仿宋" w:cs="宋体"/>
          <w:kern w:val="0"/>
          <w:sz w:val="28"/>
          <w:szCs w:val="28"/>
          <w:highlight w:val="none"/>
        </w:rPr>
        <w:t>对成都索贝数码科技股份有限公司</w:t>
      </w:r>
      <w:r>
        <w:rPr>
          <w:rFonts w:hint="eastAsia" w:ascii="仿宋" w:hAnsi="仿宋" w:eastAsia="仿宋" w:cs="宋体"/>
          <w:kern w:val="0"/>
          <w:sz w:val="28"/>
          <w:szCs w:val="28"/>
          <w:highlight w:val="none"/>
        </w:rPr>
        <w:t>业务信息进行采集、加工、存储、传输、检索等处理的人机系统。网络拓</w:t>
      </w:r>
      <w:r>
        <w:rPr>
          <w:rFonts w:hint="eastAsia" w:ascii="仿宋" w:hAnsi="仿宋" w:eastAsia="仿宋" w:cs="宋体"/>
          <w:kern w:val="0"/>
          <w:sz w:val="28"/>
          <w:szCs w:val="28"/>
        </w:rPr>
        <w:t>扑图如下:</w:t>
      </w:r>
    </w:p>
    <w:p>
      <w:pPr>
        <w:widowControl/>
        <w:spacing w:line="240" w:lineRule="atLeast"/>
        <w:jc w:val="center"/>
        <w:rPr>
          <w:rFonts w:hint="eastAsia" w:ascii="仿宋" w:hAnsi="仿宋" w:eastAsia="仿宋" w:cs="宋体"/>
          <w:kern w:val="0"/>
          <w:sz w:val="28"/>
          <w:szCs w:val="28"/>
          <w:lang w:eastAsia="zh-CN"/>
        </w:rPr>
      </w:pPr>
      <w:r>
        <w:rPr>
          <w:rFonts w:hint="eastAsia" w:ascii="仿宋" w:hAnsi="仿宋" w:eastAsia="仿宋" w:cs="宋体"/>
          <w:kern w:val="0"/>
          <w:sz w:val="28"/>
          <w:szCs w:val="28"/>
          <w:lang w:eastAsia="zh-CN"/>
        </w:rPr>
        <w:drawing>
          <wp:inline distT="0" distB="0" distL="114300" distR="114300">
            <wp:extent cx="3992245" cy="3879850"/>
            <wp:effectExtent l="0" t="0" r="635" b="6350"/>
            <wp:docPr id="1" name="图片 1" descr="7a8ac80d3a647f5121310fc3430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a8ac80d3a647f5121310fc34300311"/>
                    <pic:cNvPicPr>
                      <a:picLocks noChangeAspect="1"/>
                    </pic:cNvPicPr>
                  </pic:nvPicPr>
                  <pic:blipFill>
                    <a:blip r:embed="rId4"/>
                    <a:stretch>
                      <a:fillRect/>
                    </a:stretch>
                  </pic:blipFill>
                  <pic:spPr>
                    <a:xfrm>
                      <a:off x="0" y="0"/>
                      <a:ext cx="3992245" cy="3879850"/>
                    </a:xfrm>
                    <a:prstGeom prst="rect">
                      <a:avLst/>
                    </a:prstGeom>
                  </pic:spPr>
                </pic:pic>
              </a:graphicData>
            </a:graphic>
          </wp:inline>
        </w:drawing>
      </w:r>
    </w:p>
    <w:p>
      <w:pPr>
        <w:widowControl/>
        <w:spacing w:before="156" w:beforeLines="50" w:after="156" w:afterLines="50" w:line="240" w:lineRule="atLeast"/>
        <w:ind w:firstLine="480" w:firstLineChars="200"/>
        <w:jc w:val="center"/>
        <w:rPr>
          <w:rFonts w:ascii="宋体" w:hAnsi="宋体" w:eastAsia="宋体" w:cs="宋体"/>
          <w:kern w:val="0"/>
          <w:sz w:val="24"/>
          <w:szCs w:val="28"/>
          <w:highlight w:val="none"/>
        </w:rPr>
      </w:pPr>
      <w:r>
        <w:rPr>
          <w:rFonts w:hint="eastAsia" w:ascii="宋体" w:hAnsi="宋体" w:eastAsia="宋体" w:cs="宋体"/>
          <w:kern w:val="0"/>
          <w:sz w:val="24"/>
          <w:szCs w:val="28"/>
          <w:highlight w:val="none"/>
          <w:lang w:eastAsia="zh-CN"/>
        </w:rPr>
        <w:t>金蝶云星空</w:t>
      </w:r>
      <w:r>
        <w:rPr>
          <w:rFonts w:hint="eastAsia" w:ascii="宋体" w:hAnsi="宋体" w:eastAsia="宋体" w:cs="宋体"/>
          <w:kern w:val="0"/>
          <w:sz w:val="24"/>
          <w:szCs w:val="28"/>
          <w:highlight w:val="none"/>
        </w:rPr>
        <w:t>系统网络拓扑图</w:t>
      </w:r>
    </w:p>
    <w:p>
      <w:pPr>
        <w:pStyle w:val="3"/>
        <w:rPr>
          <w:rFonts w:ascii="仿宋" w:hAnsi="仿宋" w:eastAsia="仿宋" w:cs="宋体"/>
          <w:kern w:val="0"/>
          <w:sz w:val="28"/>
          <w:szCs w:val="28"/>
        </w:rPr>
      </w:pPr>
      <w:r>
        <w:rPr>
          <w:rFonts w:hint="eastAsia" w:ascii="仿宋" w:hAnsi="仿宋" w:eastAsia="仿宋" w:cs="宋体"/>
          <w:kern w:val="0"/>
          <w:sz w:val="28"/>
          <w:szCs w:val="28"/>
        </w:rPr>
        <w:t>（三）业务描述</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金蝶云星空</w:t>
      </w:r>
      <w:r>
        <w:rPr>
          <w:rFonts w:hint="eastAsia" w:ascii="仿宋" w:hAnsi="仿宋" w:eastAsia="仿宋" w:cs="宋体"/>
          <w:kern w:val="0"/>
          <w:sz w:val="28"/>
          <w:szCs w:val="28"/>
          <w:highlight w:val="none"/>
          <w:lang w:val="en-US" w:eastAsia="zh-CN"/>
        </w:rPr>
        <w:t>主要</w:t>
      </w:r>
      <w:r>
        <w:rPr>
          <w:rFonts w:hint="eastAsia" w:ascii="仿宋" w:hAnsi="仿宋" w:eastAsia="仿宋" w:cs="宋体"/>
          <w:kern w:val="0"/>
          <w:sz w:val="28"/>
          <w:szCs w:val="28"/>
          <w:highlight w:val="none"/>
        </w:rPr>
        <w:t>提供财务云、数据服务云等全方位解决方案，助力企业实现数智化转型，提升收益力和运营效率。该平台支持多组织、集团化、多端应用、费控管理、多账簿、多语言等特性。其中财务云融合最新的财务管理模式、数智技术构建费用管理、财务会计、财务共享财务中台、税务管理、管理会计、企业绩效</w:t>
      </w:r>
      <w:r>
        <w:rPr>
          <w:rFonts w:hint="eastAsia" w:ascii="仿宋" w:hAnsi="仿宋" w:eastAsia="仿宋" w:cs="宋体"/>
          <w:kern w:val="0"/>
          <w:sz w:val="28"/>
          <w:szCs w:val="28"/>
          <w:highlight w:val="none"/>
          <w:lang w:eastAsia="zh-CN"/>
        </w:rPr>
        <w:t>、</w:t>
      </w:r>
      <w:r>
        <w:rPr>
          <w:rFonts w:hint="eastAsia" w:ascii="仿宋" w:hAnsi="仿宋" w:eastAsia="仿宋" w:cs="宋体"/>
          <w:kern w:val="0"/>
          <w:sz w:val="28"/>
          <w:szCs w:val="28"/>
          <w:highlight w:val="none"/>
        </w:rPr>
        <w:t>资金管理等新一代应用。</w:t>
      </w:r>
    </w:p>
    <w:p>
      <w:pPr>
        <w:pStyle w:val="2"/>
        <w:rPr>
          <w:rFonts w:ascii="黑体" w:hAnsi="黑体" w:eastAsia="黑体" w:cs="宋体"/>
          <w:kern w:val="0"/>
          <w:sz w:val="28"/>
          <w:szCs w:val="28"/>
        </w:rPr>
      </w:pPr>
      <w:r>
        <w:rPr>
          <w:rFonts w:hint="eastAsia" w:ascii="黑体" w:hAnsi="黑体" w:eastAsia="黑体" w:cs="宋体"/>
          <w:kern w:val="0"/>
          <w:sz w:val="28"/>
          <w:szCs w:val="28"/>
        </w:rPr>
        <w:t>二、</w:t>
      </w:r>
      <w:r>
        <w:rPr>
          <w:rFonts w:hint="eastAsia" w:ascii="黑体" w:hAnsi="黑体" w:eastAsia="黑体" w:cs="宋体"/>
          <w:kern w:val="0"/>
          <w:sz w:val="28"/>
          <w:szCs w:val="28"/>
          <w:lang w:eastAsia="zh-CN"/>
        </w:rPr>
        <w:t>金蝶云星空</w:t>
      </w:r>
      <w:r>
        <w:rPr>
          <w:rFonts w:hint="eastAsia" w:ascii="黑体" w:hAnsi="黑体" w:eastAsia="黑体" w:cs="宋体"/>
          <w:kern w:val="0"/>
          <w:sz w:val="28"/>
          <w:szCs w:val="28"/>
        </w:rPr>
        <w:t>网络安全保护等级的确定</w:t>
      </w:r>
    </w:p>
    <w:p>
      <w:pPr>
        <w:pStyle w:val="3"/>
        <w:rPr>
          <w:rFonts w:ascii="仿宋" w:hAnsi="仿宋" w:eastAsia="仿宋" w:cs="宋体"/>
          <w:kern w:val="0"/>
          <w:sz w:val="28"/>
          <w:szCs w:val="28"/>
        </w:rPr>
      </w:pPr>
      <w:r>
        <w:rPr>
          <w:rFonts w:hint="eastAsia" w:ascii="仿宋" w:hAnsi="仿宋" w:eastAsia="仿宋" w:cs="宋体"/>
          <w:kern w:val="0"/>
          <w:sz w:val="28"/>
          <w:szCs w:val="28"/>
        </w:rPr>
        <w:t>（一）定级依据</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1、《计算机信息系统安全保护等级划分准则》（GB 17859-1999）</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2、《信息安全技术 网络安全等级保护定级指南》（GB/T 22240-20</w:t>
      </w:r>
      <w:r>
        <w:rPr>
          <w:rFonts w:ascii="仿宋" w:hAnsi="仿宋" w:eastAsia="仿宋" w:cs="宋体"/>
          <w:kern w:val="0"/>
          <w:sz w:val="28"/>
          <w:szCs w:val="28"/>
        </w:rPr>
        <w:t>20</w:t>
      </w:r>
      <w:r>
        <w:rPr>
          <w:rFonts w:hint="eastAsia" w:ascii="仿宋" w:hAnsi="仿宋" w:eastAsia="仿宋" w:cs="宋体"/>
          <w:kern w:val="0"/>
          <w:sz w:val="28"/>
          <w:szCs w:val="28"/>
        </w:rPr>
        <w:t>）（以下简称“《定级指南》”）</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3、《中华人民共和国网络安全法》</w:t>
      </w:r>
    </w:p>
    <w:p>
      <w:pPr>
        <w:pStyle w:val="3"/>
        <w:rPr>
          <w:rFonts w:ascii="仿宋" w:hAnsi="仿宋" w:eastAsia="仿宋" w:cs="宋体"/>
          <w:kern w:val="0"/>
          <w:sz w:val="28"/>
          <w:szCs w:val="28"/>
        </w:rPr>
      </w:pPr>
      <w:r>
        <w:rPr>
          <w:rFonts w:hint="eastAsia" w:ascii="仿宋" w:hAnsi="仿宋" w:eastAsia="仿宋" w:cs="宋体"/>
          <w:kern w:val="0"/>
          <w:sz w:val="28"/>
          <w:szCs w:val="28"/>
        </w:rPr>
        <w:t>（二）业务信息安全保护等级的确定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1、业务信息描述</w:t>
      </w:r>
    </w:p>
    <w:p>
      <w:pPr>
        <w:widowControl/>
        <w:spacing w:line="240" w:lineRule="atLeast"/>
        <w:ind w:firstLine="560" w:firstLineChars="200"/>
        <w:jc w:val="left"/>
        <w:rPr>
          <w:rFonts w:hint="eastAsia" w:ascii="仿宋" w:hAnsi="仿宋" w:eastAsia="仿宋" w:cs="宋体"/>
          <w:color w:val="FF0000"/>
          <w:kern w:val="0"/>
          <w:sz w:val="28"/>
          <w:szCs w:val="28"/>
          <w:highlight w:val="none"/>
          <w:lang w:eastAsia="zh-CN"/>
        </w:rPr>
      </w:pP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的</w:t>
      </w:r>
      <w:r>
        <w:rPr>
          <w:rFonts w:hint="eastAsia" w:ascii="仿宋" w:hAnsi="仿宋" w:eastAsia="仿宋" w:cs="宋体"/>
          <w:spacing w:val="-10"/>
          <w:kern w:val="0"/>
          <w:sz w:val="28"/>
          <w:szCs w:val="28"/>
          <w:highlight w:val="none"/>
        </w:rPr>
        <w:t>业务信息包括：费用报销信息，凭证信息，账簿信息，报表信息、资产信息。各种基础信息</w:t>
      </w:r>
      <w:r>
        <w:rPr>
          <w:rFonts w:hint="eastAsia" w:ascii="仿宋" w:hAnsi="仿宋" w:eastAsia="仿宋" w:cs="宋体"/>
          <w:spacing w:val="-10"/>
          <w:kern w:val="0"/>
          <w:sz w:val="28"/>
          <w:szCs w:val="28"/>
          <w:highlight w:val="none"/>
          <w:lang w:eastAsia="zh-CN"/>
        </w:rPr>
        <w:t>：</w:t>
      </w:r>
      <w:r>
        <w:rPr>
          <w:rFonts w:hint="eastAsia" w:ascii="仿宋" w:hAnsi="仿宋" w:eastAsia="仿宋" w:cs="宋体"/>
          <w:spacing w:val="-10"/>
          <w:kern w:val="0"/>
          <w:sz w:val="28"/>
          <w:szCs w:val="28"/>
          <w:highlight w:val="none"/>
        </w:rPr>
        <w:t>物料、供应商客户、员工、部门、合同号、KT项目等</w:t>
      </w:r>
      <w:r>
        <w:rPr>
          <w:rFonts w:hint="eastAsia" w:ascii="仿宋" w:hAnsi="仿宋" w:eastAsia="仿宋" w:cs="宋体"/>
          <w:spacing w:val="-10"/>
          <w:kern w:val="0"/>
          <w:sz w:val="28"/>
          <w:szCs w:val="28"/>
          <w:highlight w:val="none"/>
          <w:lang w:eastAsia="zh-CN"/>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2、业务信息受到破坏时所侵害客体的确定（侵害的客体包括：1国家安全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该业务信息遭到</w:t>
      </w:r>
      <w:r>
        <w:rPr>
          <w:rFonts w:hint="eastAsia" w:ascii="仿宋" w:hAnsi="仿宋" w:eastAsia="仿宋" w:cs="宋体"/>
          <w:spacing w:val="-10"/>
          <w:kern w:val="0"/>
          <w:sz w:val="28"/>
          <w:szCs w:val="28"/>
        </w:rPr>
        <w:t>破坏</w:t>
      </w:r>
      <w:r>
        <w:rPr>
          <w:rFonts w:hint="eastAsia" w:ascii="仿宋" w:hAnsi="仿宋" w:eastAsia="仿宋" w:cs="宋体"/>
          <w:kern w:val="0"/>
          <w:sz w:val="28"/>
          <w:szCs w:val="28"/>
        </w:rPr>
        <w:t>后，不会对国家政权稳固和国防实力、国家统一、民族团结和社会安定、国家对外活动中的政治、经济利益、国家重要的安全保卫工作、国家经济竞争力和科技实力以及其他影响国家安全的事项造成影响；</w:t>
      </w:r>
      <w:r>
        <w:rPr>
          <w:rFonts w:hint="eastAsia" w:ascii="仿宋" w:hAnsi="仿宋" w:eastAsia="仿宋" w:cs="宋体"/>
          <w:kern w:val="0"/>
          <w:sz w:val="28"/>
          <w:szCs w:val="28"/>
          <w:highlight w:val="none"/>
        </w:rPr>
        <w:t>但会在一定程度上造成</w:t>
      </w:r>
      <w:r>
        <w:rPr>
          <w:rFonts w:hint="eastAsia" w:ascii="仿宋" w:hAnsi="仿宋" w:eastAsia="仿宋" w:cs="宋体"/>
          <w:kern w:val="0"/>
          <w:sz w:val="28"/>
          <w:szCs w:val="28"/>
          <w:highlight w:val="none"/>
          <w:lang w:val="en-US" w:eastAsia="zh-CN"/>
        </w:rPr>
        <w:t>信息</w:t>
      </w:r>
      <w:r>
        <w:rPr>
          <w:rFonts w:hint="eastAsia" w:ascii="仿宋" w:hAnsi="仿宋" w:eastAsia="仿宋" w:cs="宋体"/>
          <w:kern w:val="0"/>
          <w:sz w:val="28"/>
          <w:szCs w:val="28"/>
          <w:highlight w:val="none"/>
        </w:rPr>
        <w:t>被篡改或泄露，</w:t>
      </w:r>
      <w:r>
        <w:rPr>
          <w:rFonts w:hint="eastAsia" w:ascii="仿宋" w:hAnsi="仿宋" w:eastAsia="仿宋" w:cs="宋体"/>
          <w:kern w:val="0"/>
          <w:sz w:val="28"/>
          <w:szCs w:val="28"/>
          <w:highlight w:val="none"/>
          <w:lang w:val="en-US" w:eastAsia="zh-CN"/>
        </w:rPr>
        <w:t>导致</w:t>
      </w:r>
      <w:r>
        <w:rPr>
          <w:rFonts w:hint="eastAsia" w:ascii="仿宋" w:hAnsi="仿宋" w:eastAsia="仿宋" w:cs="宋体"/>
          <w:kern w:val="0"/>
          <w:sz w:val="28"/>
          <w:szCs w:val="28"/>
          <w:highlight w:val="none"/>
        </w:rPr>
        <w:t>成都索贝数码科技股份有限公司的商业利益</w:t>
      </w:r>
      <w:r>
        <w:rPr>
          <w:rFonts w:hint="eastAsia" w:ascii="仿宋" w:hAnsi="仿宋" w:eastAsia="仿宋" w:cs="宋体"/>
          <w:kern w:val="0"/>
          <w:sz w:val="28"/>
          <w:szCs w:val="28"/>
          <w:highlight w:val="none"/>
          <w:lang w:val="en-US" w:eastAsia="zh-CN"/>
        </w:rPr>
        <w:t>遭受</w:t>
      </w:r>
      <w:r>
        <w:rPr>
          <w:rFonts w:hint="eastAsia" w:ascii="仿宋" w:hAnsi="仿宋" w:eastAsia="仿宋" w:cs="宋体"/>
          <w:kern w:val="0"/>
          <w:sz w:val="28"/>
          <w:szCs w:val="28"/>
          <w:highlight w:val="none"/>
        </w:rPr>
        <w:t>侵害</w:t>
      </w:r>
      <w:r>
        <w:rPr>
          <w:rFonts w:hint="eastAsia" w:ascii="仿宋" w:hAnsi="仿宋" w:eastAsia="仿宋" w:cs="宋体"/>
          <w:kern w:val="0"/>
          <w:sz w:val="28"/>
          <w:szCs w:val="28"/>
        </w:rPr>
        <w:t>。因此，</w:t>
      </w:r>
      <w:r>
        <w:rPr>
          <w:rFonts w:hint="eastAsia" w:ascii="仿宋" w:hAnsi="仿宋" w:eastAsia="仿宋" w:cs="宋体"/>
          <w:kern w:val="0"/>
          <w:sz w:val="28"/>
          <w:szCs w:val="28"/>
          <w:highlight w:val="none"/>
        </w:rPr>
        <w:t>成都索贝数码科技股份有限公司</w:t>
      </w: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业</w:t>
      </w:r>
      <w:r>
        <w:rPr>
          <w:rFonts w:hint="eastAsia" w:ascii="仿宋" w:hAnsi="仿宋" w:eastAsia="仿宋" w:cs="宋体"/>
          <w:kern w:val="0"/>
          <w:sz w:val="28"/>
          <w:szCs w:val="28"/>
        </w:rPr>
        <w:t>务信息安全遭到破坏后所侵害的客体是公民、法人和其他组织的合法权益。</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Pr>
          <w:rFonts w:hint="eastAsia" w:ascii="仿宋" w:hAnsi="仿宋" w:eastAsia="仿宋" w:cs="宋体"/>
          <w:kern w:val="0"/>
          <w:sz w:val="28"/>
          <w:szCs w:val="28"/>
          <w:highlight w:val="none"/>
        </w:rPr>
        <w:t>会对公民、法人和其他组织的合法权益造</w:t>
      </w:r>
      <w:r>
        <w:rPr>
          <w:rFonts w:hint="eastAsia" w:ascii="仿宋" w:hAnsi="仿宋" w:eastAsia="仿宋" w:cs="宋体"/>
          <w:kern w:val="0"/>
          <w:sz w:val="28"/>
          <w:szCs w:val="28"/>
        </w:rPr>
        <w:t>成影响和损害，可以表现为：</w:t>
      </w:r>
      <w:r>
        <w:rPr>
          <w:rFonts w:hint="eastAsia" w:ascii="仿宋" w:hAnsi="仿宋" w:eastAsia="仿宋" w:cs="宋体"/>
          <w:kern w:val="0"/>
          <w:sz w:val="28"/>
          <w:szCs w:val="28"/>
          <w:highlight w:val="none"/>
        </w:rPr>
        <w:t>成都索贝数码科技股份有限公司的</w:t>
      </w:r>
      <w:r>
        <w:rPr>
          <w:rFonts w:hint="eastAsia" w:ascii="仿宋" w:hAnsi="仿宋" w:eastAsia="仿宋" w:cs="宋体"/>
          <w:kern w:val="0"/>
          <w:sz w:val="28"/>
          <w:szCs w:val="28"/>
          <w:highlight w:val="none"/>
          <w:lang w:val="en-US" w:eastAsia="zh-CN"/>
        </w:rPr>
        <w:t>财务报销、资产报表数据被修改或删除，导致公司财报异常，</w:t>
      </w:r>
      <w:r>
        <w:rPr>
          <w:rFonts w:hint="eastAsia" w:ascii="仿宋" w:hAnsi="仿宋" w:eastAsia="仿宋" w:cs="宋体"/>
          <w:kern w:val="0"/>
          <w:sz w:val="28"/>
          <w:szCs w:val="28"/>
          <w:highlight w:val="none"/>
        </w:rPr>
        <w:t>影响成都索贝数码科技股份有限公司的商业利益。</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3、信息受到破坏后对侵害客体的侵害程度（即上述分析的结果的表现程度）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4、确定业务信息安全等级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根据业务信息受到破坏产生侵害的客观方面表现，并结合《定级指南》表2，业务信息安全受到破坏后侵害程度如表1所示：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表1业务信息安全保护等级矩阵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color w:val="00B0F0"/>
                <w:kern w:val="0"/>
                <w:sz w:val="24"/>
                <w:szCs w:val="28"/>
              </w:rPr>
            </w:pPr>
            <w:r>
              <w:rPr>
                <w:rFonts w:hint="eastAsia" w:ascii="宋体" w:hAnsi="宋体" w:eastAsia="宋体" w:cs="宋体"/>
                <w:color w:val="auto"/>
                <w:kern w:val="0"/>
                <w:sz w:val="24"/>
                <w:szCs w:val="28"/>
              </w:rPr>
              <w:t>第一级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rPr>
        <w:t>因此，确</w:t>
      </w:r>
      <w:r>
        <w:rPr>
          <w:rFonts w:hint="eastAsia" w:ascii="仿宋" w:hAnsi="仿宋" w:eastAsia="仿宋" w:cs="宋体"/>
          <w:kern w:val="0"/>
          <w:sz w:val="28"/>
          <w:szCs w:val="28"/>
          <w:highlight w:val="none"/>
        </w:rPr>
        <w:t>定成都索贝数码科技股份有限公司的</w:t>
      </w: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业</w:t>
      </w:r>
      <w:r>
        <w:rPr>
          <w:rFonts w:hint="eastAsia" w:ascii="仿宋" w:hAnsi="仿宋" w:eastAsia="仿宋" w:cs="宋体"/>
          <w:kern w:val="0"/>
          <w:sz w:val="28"/>
          <w:szCs w:val="28"/>
        </w:rPr>
        <w:t>务信息安全受到破坏时，对公民、法人和其他组织的合法权益以及社会秩序、公共利</w:t>
      </w:r>
      <w:r>
        <w:rPr>
          <w:rFonts w:hint="eastAsia" w:ascii="仿宋" w:hAnsi="仿宋" w:eastAsia="仿宋" w:cs="宋体"/>
          <w:kern w:val="0"/>
          <w:sz w:val="28"/>
          <w:szCs w:val="28"/>
          <w:highlight w:val="none"/>
        </w:rPr>
        <w:t>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，所以业务信息安全保护等级确定为第一级。</w:t>
      </w:r>
    </w:p>
    <w:p>
      <w:pPr>
        <w:pStyle w:val="3"/>
        <w:rPr>
          <w:rFonts w:ascii="仿宋" w:hAnsi="仿宋" w:eastAsia="仿宋" w:cs="宋体"/>
          <w:kern w:val="0"/>
          <w:sz w:val="28"/>
          <w:szCs w:val="28"/>
        </w:rPr>
      </w:pPr>
      <w:r>
        <w:rPr>
          <w:rFonts w:hint="eastAsia" w:ascii="仿宋" w:hAnsi="仿宋" w:eastAsia="仿宋" w:cs="宋体"/>
          <w:kern w:val="0"/>
          <w:sz w:val="28"/>
          <w:szCs w:val="28"/>
        </w:rPr>
        <w:t>（三）系统服务安全保护等级的确定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1、系统服务描述</w:t>
      </w:r>
    </w:p>
    <w:p>
      <w:pPr>
        <w:widowControl/>
        <w:spacing w:line="240" w:lineRule="atLeast"/>
        <w:ind w:firstLine="560" w:firstLineChars="200"/>
        <w:jc w:val="left"/>
        <w:rPr>
          <w:rFonts w:ascii="仿宋" w:hAnsi="仿宋" w:eastAsia="仿宋" w:cs="宋体"/>
          <w:color w:val="auto"/>
          <w:kern w:val="0"/>
          <w:sz w:val="28"/>
          <w:szCs w:val="28"/>
          <w:highlight w:val="none"/>
        </w:rPr>
      </w:pPr>
      <w:r>
        <w:rPr>
          <w:rFonts w:hint="eastAsia" w:ascii="仿宋" w:hAnsi="仿宋" w:eastAsia="仿宋" w:cs="宋体"/>
          <w:color w:val="auto"/>
          <w:kern w:val="0"/>
          <w:sz w:val="28"/>
          <w:szCs w:val="28"/>
          <w:highlight w:val="none"/>
        </w:rPr>
        <w:t>该系统为公司财务管理系统，其服务范围为</w:t>
      </w:r>
      <w:r>
        <w:rPr>
          <w:rFonts w:hint="eastAsia" w:ascii="仿宋" w:hAnsi="仿宋" w:eastAsia="仿宋" w:cs="宋体"/>
          <w:color w:val="auto"/>
          <w:kern w:val="0"/>
          <w:sz w:val="28"/>
          <w:szCs w:val="28"/>
          <w:highlight w:val="none"/>
          <w:lang w:val="en-US" w:eastAsia="zh-CN"/>
        </w:rPr>
        <w:t>公司</w:t>
      </w:r>
      <w:r>
        <w:rPr>
          <w:rFonts w:hint="eastAsia" w:ascii="仿宋" w:hAnsi="仿宋" w:eastAsia="仿宋" w:cs="宋体"/>
          <w:color w:val="auto"/>
          <w:kern w:val="0"/>
          <w:sz w:val="28"/>
          <w:szCs w:val="28"/>
          <w:highlight w:val="none"/>
        </w:rPr>
        <w:t>财务</w:t>
      </w:r>
      <w:r>
        <w:rPr>
          <w:rFonts w:hint="eastAsia" w:ascii="仿宋" w:hAnsi="仿宋" w:eastAsia="仿宋" w:cs="宋体"/>
          <w:color w:val="auto"/>
          <w:kern w:val="0"/>
          <w:sz w:val="28"/>
          <w:szCs w:val="28"/>
          <w:highlight w:val="none"/>
          <w:lang w:val="en-US" w:eastAsia="zh-CN"/>
        </w:rPr>
        <w:t>员工</w:t>
      </w:r>
      <w:r>
        <w:rPr>
          <w:rFonts w:hint="eastAsia" w:ascii="仿宋" w:hAnsi="仿宋" w:eastAsia="仿宋" w:cs="宋体"/>
          <w:color w:val="auto"/>
          <w:kern w:val="0"/>
          <w:sz w:val="28"/>
          <w:szCs w:val="28"/>
          <w:highlight w:val="none"/>
        </w:rPr>
        <w:t>。以及需要报销的公司内部</w:t>
      </w:r>
      <w:r>
        <w:rPr>
          <w:rFonts w:hint="eastAsia" w:ascii="仿宋" w:hAnsi="仿宋" w:eastAsia="仿宋" w:cs="宋体"/>
          <w:color w:val="auto"/>
          <w:kern w:val="0"/>
          <w:sz w:val="28"/>
          <w:szCs w:val="28"/>
          <w:highlight w:val="none"/>
          <w:lang w:val="en-US" w:eastAsia="zh-CN"/>
        </w:rPr>
        <w:t>员工</w:t>
      </w:r>
      <w:r>
        <w:rPr>
          <w:rFonts w:hint="eastAsia" w:ascii="仿宋" w:hAnsi="仿宋" w:eastAsia="仿宋" w:cs="宋体"/>
          <w:color w:val="auto"/>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2、系统服务受到破坏时所侵害客体的确定（侵害的客体包括：1国家安全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系统服务遭到破坏时，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Pr>
          <w:rFonts w:hint="eastAsia" w:ascii="仿宋" w:hAnsi="仿宋" w:eastAsia="仿宋" w:cs="宋体"/>
          <w:kern w:val="0"/>
          <w:sz w:val="28"/>
          <w:szCs w:val="28"/>
          <w:highlight w:val="none"/>
        </w:rPr>
        <w:t>但会在一定程度上造成成都索贝数码科技股份有限公司的</w:t>
      </w:r>
      <w:r>
        <w:rPr>
          <w:rFonts w:hint="eastAsia" w:ascii="仿宋" w:hAnsi="仿宋" w:eastAsia="仿宋" w:cs="宋体"/>
          <w:kern w:val="0"/>
          <w:sz w:val="28"/>
          <w:szCs w:val="28"/>
          <w:highlight w:val="none"/>
          <w:lang w:val="en-US" w:eastAsia="zh-CN"/>
        </w:rPr>
        <w:t>财务</w:t>
      </w:r>
      <w:r>
        <w:rPr>
          <w:rFonts w:hint="eastAsia" w:ascii="仿宋" w:hAnsi="仿宋" w:eastAsia="仿宋" w:cs="宋体"/>
          <w:kern w:val="0"/>
          <w:sz w:val="28"/>
          <w:szCs w:val="28"/>
          <w:highlight w:val="none"/>
        </w:rPr>
        <w:t>服务延迟，甚至中断，影响工作质量，将会</w:t>
      </w:r>
      <w:r>
        <w:rPr>
          <w:rFonts w:hint="eastAsia" w:ascii="仿宋" w:hAnsi="仿宋" w:eastAsia="仿宋" w:cs="宋体"/>
          <w:kern w:val="0"/>
          <w:sz w:val="28"/>
          <w:szCs w:val="28"/>
          <w:highlight w:val="none"/>
          <w:lang w:val="en-US" w:eastAsia="zh-CN"/>
        </w:rPr>
        <w:t>对公司</w:t>
      </w:r>
      <w:r>
        <w:rPr>
          <w:rFonts w:hint="eastAsia" w:ascii="仿宋" w:hAnsi="仿宋" w:eastAsia="仿宋" w:cs="宋体"/>
          <w:kern w:val="0"/>
          <w:sz w:val="28"/>
          <w:szCs w:val="28"/>
          <w:highlight w:val="none"/>
        </w:rPr>
        <w:t>的商业利益造成侵害。因此，</w:t>
      </w: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服务安全遭到破坏后所侵害的客体是公民</w:t>
      </w:r>
      <w:r>
        <w:rPr>
          <w:rFonts w:hint="eastAsia" w:ascii="仿宋" w:hAnsi="仿宋" w:eastAsia="仿宋" w:cs="宋体"/>
          <w:kern w:val="0"/>
          <w:sz w:val="28"/>
          <w:szCs w:val="28"/>
        </w:rPr>
        <w:t>、法人和其他组织的合法权益</w:t>
      </w:r>
      <w:bookmarkStart w:id="1" w:name="_GoBack"/>
      <w:bookmarkEnd w:id="1"/>
      <w:r>
        <w:rPr>
          <w:rFonts w:hint="eastAsia" w:ascii="仿宋" w:hAnsi="仿宋" w:eastAsia="仿宋" w:cs="宋体"/>
          <w:kern w:val="0"/>
          <w:sz w:val="28"/>
          <w:szCs w:val="28"/>
        </w:rPr>
        <w:t>。</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rPr>
        <w:t>侵害的客观方面（客观方面是指定级对象的具体侵害行为，侵害形式以及对客体的造成的侵害结果）</w:t>
      </w:r>
      <w:r>
        <w:rPr>
          <w:rFonts w:hint="eastAsia" w:ascii="仿宋" w:hAnsi="仿宋" w:eastAsia="仿宋" w:cs="宋体"/>
          <w:kern w:val="0"/>
          <w:sz w:val="28"/>
          <w:szCs w:val="28"/>
          <w:highlight w:val="none"/>
        </w:rPr>
        <w:t>表现为：对成都索贝数码科技股份有限公司的</w:t>
      </w:r>
      <w:r>
        <w:rPr>
          <w:rFonts w:hint="eastAsia" w:ascii="仿宋" w:hAnsi="仿宋" w:eastAsia="仿宋" w:cs="宋体"/>
          <w:kern w:val="0"/>
          <w:sz w:val="28"/>
          <w:szCs w:val="28"/>
          <w:highlight w:val="none"/>
          <w:lang w:val="en-US" w:eastAsia="zh-CN"/>
        </w:rPr>
        <w:t>财务报销</w:t>
      </w:r>
      <w:r>
        <w:rPr>
          <w:rFonts w:hint="eastAsia" w:ascii="仿宋" w:hAnsi="仿宋" w:eastAsia="仿宋" w:cs="宋体"/>
          <w:kern w:val="0"/>
          <w:sz w:val="28"/>
          <w:szCs w:val="28"/>
          <w:highlight w:val="none"/>
        </w:rPr>
        <w:t>等事务造成一定延缓，给</w:t>
      </w:r>
      <w:r>
        <w:rPr>
          <w:rFonts w:hint="eastAsia" w:ascii="仿宋" w:hAnsi="仿宋" w:eastAsia="仿宋" w:cs="宋体"/>
          <w:kern w:val="0"/>
          <w:sz w:val="28"/>
          <w:szCs w:val="28"/>
          <w:highlight w:val="none"/>
          <w:lang w:val="en-US" w:eastAsia="zh-CN"/>
        </w:rPr>
        <w:t>公司财务</w:t>
      </w:r>
      <w:r>
        <w:rPr>
          <w:rFonts w:ascii="仿宋" w:hAnsi="仿宋" w:eastAsia="仿宋" w:cs="宋体"/>
          <w:kern w:val="0"/>
          <w:sz w:val="28"/>
          <w:szCs w:val="28"/>
          <w:highlight w:val="none"/>
        </w:rPr>
        <w:t>部门正常</w:t>
      </w:r>
      <w:r>
        <w:rPr>
          <w:rFonts w:hint="eastAsia" w:ascii="仿宋" w:hAnsi="仿宋" w:eastAsia="仿宋" w:cs="宋体"/>
          <w:kern w:val="0"/>
          <w:sz w:val="28"/>
          <w:szCs w:val="28"/>
          <w:highlight w:val="none"/>
        </w:rPr>
        <w:t>工作带来一定程度的影响，但</w:t>
      </w:r>
      <w:r>
        <w:rPr>
          <w:rFonts w:hint="eastAsia" w:ascii="仿宋" w:hAnsi="仿宋" w:eastAsia="仿宋" w:cs="宋体"/>
          <w:kern w:val="0"/>
          <w:sz w:val="28"/>
          <w:szCs w:val="28"/>
          <w:highlight w:val="none"/>
          <w:lang w:val="en-US" w:eastAsia="zh-CN"/>
        </w:rPr>
        <w:t>不影响公司主营业务开展</w:t>
      </w:r>
      <w:r>
        <w:rPr>
          <w:rFonts w:hint="eastAsia" w:ascii="仿宋" w:hAnsi="仿宋" w:eastAsia="仿宋" w:cs="宋体"/>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3、系统服务受到破坏后对侵害客体的侵害程度（即上述分析的结果的表现程度）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4、确定系统服务安全等级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根据系统服务受到破坏后产生侵害的客观方面表现，并结合《定级指南》表3，系统服务受到破坏后侵害程度如表2所示：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表2系统服务安全保护等级矩阵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因此，</w:t>
      </w:r>
      <w:r>
        <w:rPr>
          <w:rFonts w:hint="eastAsia" w:ascii="仿宋" w:hAnsi="仿宋" w:eastAsia="仿宋" w:cs="宋体"/>
          <w:kern w:val="0"/>
          <w:sz w:val="28"/>
          <w:szCs w:val="28"/>
          <w:highlight w:val="none"/>
        </w:rPr>
        <w:t>确定成都索贝数码科技股份有限公司的</w:t>
      </w: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服务安全受到破坏时，对公民、法人和其他组织的合法权益以及社会秩序、公共利益造成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，所以系统服务安全保护等级确定为第一级</w:t>
      </w:r>
    </w:p>
    <w:p>
      <w:pPr>
        <w:pStyle w:val="3"/>
        <w:rPr>
          <w:rFonts w:ascii="仿宋" w:hAnsi="仿宋" w:eastAsia="仿宋" w:cs="宋体"/>
          <w:kern w:val="0"/>
          <w:sz w:val="28"/>
          <w:szCs w:val="28"/>
        </w:rPr>
      </w:pPr>
      <w:r>
        <w:rPr>
          <w:rFonts w:hint="eastAsia" w:ascii="仿宋" w:hAnsi="仿宋" w:eastAsia="仿宋" w:cs="宋体"/>
          <w:kern w:val="0"/>
          <w:sz w:val="28"/>
          <w:szCs w:val="28"/>
        </w:rPr>
        <w:t>（四）安全保护等级的确定</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信息系统的安全保护等级由业务信息安全等级和系统服务安全等级的较高者决定，因此由以上表1和表2得出如下表3所示，最终确</w:t>
      </w:r>
      <w:r>
        <w:rPr>
          <w:rFonts w:hint="eastAsia" w:ascii="仿宋" w:hAnsi="仿宋" w:eastAsia="仿宋" w:cs="宋体"/>
          <w:kern w:val="0"/>
          <w:sz w:val="28"/>
          <w:szCs w:val="28"/>
          <w:highlight w:val="none"/>
        </w:rPr>
        <w:t>定成都索贝数码科技股份有限公司的</w:t>
      </w:r>
      <w:r>
        <w:rPr>
          <w:rFonts w:hint="eastAsia" w:ascii="仿宋" w:hAnsi="仿宋" w:eastAsia="仿宋" w:cs="宋体"/>
          <w:kern w:val="0"/>
          <w:sz w:val="28"/>
          <w:szCs w:val="28"/>
          <w:highlight w:val="none"/>
          <w:lang w:eastAsia="zh-CN"/>
        </w:rPr>
        <w:t>金蝶云星空</w:t>
      </w:r>
      <w:r>
        <w:rPr>
          <w:rFonts w:hint="eastAsia" w:ascii="仿宋" w:hAnsi="仿宋" w:eastAsia="仿宋" w:cs="宋体"/>
          <w:kern w:val="0"/>
          <w:sz w:val="28"/>
          <w:szCs w:val="28"/>
          <w:highlight w:val="none"/>
        </w:rPr>
        <w:t>安全保护等级为第一级。</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表3</w:t>
      </w:r>
      <w:r>
        <w:rPr>
          <w:rFonts w:ascii="宋体" w:hAnsi="宋体" w:eastAsia="宋体" w:cs="宋体"/>
          <w:kern w:val="0"/>
          <w:sz w:val="24"/>
          <w:szCs w:val="28"/>
        </w:rPr>
        <w:t xml:space="preserve"> </w:t>
      </w:r>
      <w:r>
        <w:rPr>
          <w:rFonts w:hint="eastAsia" w:ascii="宋体" w:hAnsi="宋体" w:eastAsia="宋体" w:cs="宋体"/>
          <w:kern w:val="0"/>
          <w:sz w:val="24"/>
          <w:szCs w:val="28"/>
        </w:rPr>
        <w:t>信息系统安全保护等级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14"/>
        <w:gridCol w:w="1696"/>
        <w:gridCol w:w="1768"/>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信息系统名称</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安全保护等级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业务信息安全等级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lang w:eastAsia="zh-CN"/>
              </w:rPr>
            </w:pPr>
            <w:r>
              <w:rPr>
                <w:rFonts w:hint="eastAsia" w:ascii="宋体" w:hAnsi="宋体" w:eastAsia="宋体" w:cs="宋体"/>
                <w:kern w:val="0"/>
                <w:sz w:val="24"/>
                <w:szCs w:val="28"/>
                <w:lang w:eastAsia="zh-CN"/>
              </w:rPr>
              <w:t>金蝶云星空</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r>
    </w:tbl>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5ZTk0OGNhMzAzNzc3N2U0YzI0ZDM0NTNmNzg0M2IifQ=="/>
  </w:docVars>
  <w:rsids>
    <w:rsidRoot w:val="00E76D56"/>
    <w:rsid w:val="000038AD"/>
    <w:rsid w:val="000913D6"/>
    <w:rsid w:val="000A5CE6"/>
    <w:rsid w:val="001248C7"/>
    <w:rsid w:val="00176F3B"/>
    <w:rsid w:val="001845FD"/>
    <w:rsid w:val="001A52D5"/>
    <w:rsid w:val="001C2B82"/>
    <w:rsid w:val="00227D7C"/>
    <w:rsid w:val="00245D44"/>
    <w:rsid w:val="00254C33"/>
    <w:rsid w:val="00256023"/>
    <w:rsid w:val="002B1E3F"/>
    <w:rsid w:val="002B345B"/>
    <w:rsid w:val="002B7337"/>
    <w:rsid w:val="002C46CE"/>
    <w:rsid w:val="00337F1D"/>
    <w:rsid w:val="003556F2"/>
    <w:rsid w:val="00382045"/>
    <w:rsid w:val="00397755"/>
    <w:rsid w:val="003D2CCD"/>
    <w:rsid w:val="003E39CA"/>
    <w:rsid w:val="003F249A"/>
    <w:rsid w:val="00450228"/>
    <w:rsid w:val="004C622D"/>
    <w:rsid w:val="004D3324"/>
    <w:rsid w:val="004E6F19"/>
    <w:rsid w:val="005065CA"/>
    <w:rsid w:val="00550BD6"/>
    <w:rsid w:val="005A54AD"/>
    <w:rsid w:val="00692D37"/>
    <w:rsid w:val="006930DF"/>
    <w:rsid w:val="006A0D61"/>
    <w:rsid w:val="006D7D2A"/>
    <w:rsid w:val="006F0BC7"/>
    <w:rsid w:val="00714847"/>
    <w:rsid w:val="00721A54"/>
    <w:rsid w:val="0074110C"/>
    <w:rsid w:val="00743ECA"/>
    <w:rsid w:val="0077619D"/>
    <w:rsid w:val="007F2DF0"/>
    <w:rsid w:val="00823454"/>
    <w:rsid w:val="00864134"/>
    <w:rsid w:val="00891D5A"/>
    <w:rsid w:val="008A1CE6"/>
    <w:rsid w:val="008B5044"/>
    <w:rsid w:val="008E6643"/>
    <w:rsid w:val="008F0E04"/>
    <w:rsid w:val="00901D1E"/>
    <w:rsid w:val="00950A91"/>
    <w:rsid w:val="00956F4D"/>
    <w:rsid w:val="0098686A"/>
    <w:rsid w:val="00987706"/>
    <w:rsid w:val="009C6EA2"/>
    <w:rsid w:val="00A14D03"/>
    <w:rsid w:val="00A82043"/>
    <w:rsid w:val="00AA0E55"/>
    <w:rsid w:val="00AA5FB9"/>
    <w:rsid w:val="00AF7BCE"/>
    <w:rsid w:val="00B11BDF"/>
    <w:rsid w:val="00B46A81"/>
    <w:rsid w:val="00B61B45"/>
    <w:rsid w:val="00BD2409"/>
    <w:rsid w:val="00BE7C99"/>
    <w:rsid w:val="00C1078D"/>
    <w:rsid w:val="00C20CCE"/>
    <w:rsid w:val="00C278CE"/>
    <w:rsid w:val="00C37F2B"/>
    <w:rsid w:val="00C53B57"/>
    <w:rsid w:val="00CB6612"/>
    <w:rsid w:val="00CD7689"/>
    <w:rsid w:val="00CF0DB6"/>
    <w:rsid w:val="00D23018"/>
    <w:rsid w:val="00D679EE"/>
    <w:rsid w:val="00D74FE6"/>
    <w:rsid w:val="00D8089B"/>
    <w:rsid w:val="00DC7FCF"/>
    <w:rsid w:val="00E26222"/>
    <w:rsid w:val="00E269B7"/>
    <w:rsid w:val="00E60609"/>
    <w:rsid w:val="00E76D56"/>
    <w:rsid w:val="00E81AF7"/>
    <w:rsid w:val="00EA3A73"/>
    <w:rsid w:val="00EC0CEF"/>
    <w:rsid w:val="00F61B46"/>
    <w:rsid w:val="028F3691"/>
    <w:rsid w:val="02B2285A"/>
    <w:rsid w:val="07FE5F7B"/>
    <w:rsid w:val="13FD1F2D"/>
    <w:rsid w:val="16410377"/>
    <w:rsid w:val="16E7377F"/>
    <w:rsid w:val="1BD459E9"/>
    <w:rsid w:val="1DD21AEC"/>
    <w:rsid w:val="20364540"/>
    <w:rsid w:val="20364B19"/>
    <w:rsid w:val="20AA3526"/>
    <w:rsid w:val="276F28BC"/>
    <w:rsid w:val="2B99540D"/>
    <w:rsid w:val="2BDB6BA0"/>
    <w:rsid w:val="2BF05990"/>
    <w:rsid w:val="2D224276"/>
    <w:rsid w:val="2D964B2C"/>
    <w:rsid w:val="31642EB0"/>
    <w:rsid w:val="33470861"/>
    <w:rsid w:val="36756891"/>
    <w:rsid w:val="37C14A80"/>
    <w:rsid w:val="37CA0BF1"/>
    <w:rsid w:val="3A112FF7"/>
    <w:rsid w:val="49E359B3"/>
    <w:rsid w:val="4BFC353A"/>
    <w:rsid w:val="4F307E45"/>
    <w:rsid w:val="56F40656"/>
    <w:rsid w:val="570D462C"/>
    <w:rsid w:val="598D29D8"/>
    <w:rsid w:val="5A47527D"/>
    <w:rsid w:val="5CF92EDA"/>
    <w:rsid w:val="5DCC20F3"/>
    <w:rsid w:val="5DFD1C63"/>
    <w:rsid w:val="626E1A00"/>
    <w:rsid w:val="66157FDD"/>
    <w:rsid w:val="68F570FB"/>
    <w:rsid w:val="69E623BC"/>
    <w:rsid w:val="69E6507F"/>
    <w:rsid w:val="70AE716A"/>
    <w:rsid w:val="74AF10D9"/>
    <w:rsid w:val="759C1C55"/>
    <w:rsid w:val="7B9854E0"/>
    <w:rsid w:val="7C0D1A2A"/>
    <w:rsid w:val="7EEC7327"/>
    <w:rsid w:val="7F6A7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uiPriority w:val="99"/>
    <w:rPr>
      <w:sz w:val="18"/>
      <w:szCs w:val="18"/>
    </w:rPr>
  </w:style>
  <w:style w:type="character" w:customStyle="1" w:styleId="10">
    <w:name w:val="页脚 字符"/>
    <w:basedOn w:val="8"/>
    <w:link w:val="5"/>
    <w:qFormat/>
    <w:uiPriority w:val="99"/>
    <w:rPr>
      <w:sz w:val="18"/>
      <w:szCs w:val="18"/>
    </w:rPr>
  </w:style>
  <w:style w:type="character" w:customStyle="1" w:styleId="11">
    <w:name w:val="标题 1 字符"/>
    <w:basedOn w:val="8"/>
    <w:link w:val="2"/>
    <w:qFormat/>
    <w:uiPriority w:val="9"/>
    <w:rPr>
      <w:b/>
      <w:bCs/>
      <w:kern w:val="44"/>
      <w:sz w:val="44"/>
      <w:szCs w:val="44"/>
    </w:rPr>
  </w:style>
  <w:style w:type="character" w:customStyle="1" w:styleId="12">
    <w:name w:val="标题 2 字符"/>
    <w:basedOn w:val="8"/>
    <w:link w:val="3"/>
    <w:qFormat/>
    <w:uiPriority w:val="9"/>
    <w:rPr>
      <w:rFonts w:asciiTheme="majorHAnsi" w:hAnsiTheme="majorHAnsi" w:eastAsiaTheme="majorEastAsia" w:cstheme="majorBidi"/>
      <w:b/>
      <w:bCs/>
      <w:sz w:val="32"/>
      <w:szCs w:val="32"/>
    </w:rPr>
  </w:style>
  <w:style w:type="character" w:customStyle="1" w:styleId="13">
    <w:name w:val="批注框文本 字符"/>
    <w:basedOn w:val="8"/>
    <w:link w:val="4"/>
    <w:semiHidden/>
    <w:qFormat/>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458</Words>
  <Characters>2615</Characters>
  <Lines>21</Lines>
  <Paragraphs>6</Paragraphs>
  <TotalTime>1</TotalTime>
  <ScaleCrop>false</ScaleCrop>
  <LinksUpToDate>false</LinksUpToDate>
  <CharactersWithSpaces>3067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2024-12-26T03:42:00Z</dcterms:created>
  <dc:creator>dengkaixu</dc:creator>
  <cp:lastModifiedBy>熊天磬</cp:lastModifiedBy>
  <dcterms:modified xsi:type="dcterms:W3CDTF">2025-01-03T03:37:43Z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C1D496CC8FA64053835F812310763EDB_12</vt:lpwstr>
  </property>
</Properties>
</file>