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pacing w:val="40"/>
          <w:sz w:val="52"/>
          <w:highlight w:val="yellow"/>
        </w:rPr>
      </w:pPr>
    </w:p>
    <w:p>
      <w:pPr>
        <w:jc w:val="center"/>
        <w:rPr>
          <w:b/>
          <w:spacing w:val="40"/>
          <w:sz w:val="52"/>
        </w:rPr>
      </w:pPr>
      <w:r>
        <w:rPr>
          <w:rFonts w:hint="eastAsia"/>
          <w:b/>
          <w:spacing w:val="40"/>
          <w:sz w:val="52"/>
        </w:rPr>
        <w:t>索贝数码业务信息平台系统</w:t>
      </w:r>
    </w:p>
    <w:p>
      <w:pPr>
        <w:jc w:val="center"/>
        <w:rPr>
          <w:b/>
          <w:spacing w:val="40"/>
          <w:sz w:val="52"/>
        </w:rPr>
      </w:pPr>
      <w:r>
        <w:rPr>
          <w:rFonts w:hint="eastAsia"/>
          <w:b/>
          <w:spacing w:val="40"/>
          <w:sz w:val="52"/>
        </w:rPr>
        <w:t>网络安全等级保护</w:t>
      </w:r>
    </w:p>
    <w:p>
      <w:pPr>
        <w:jc w:val="center"/>
        <w:rPr>
          <w:b/>
          <w:i/>
        </w:rPr>
      </w:pPr>
    </w:p>
    <w:p/>
    <w:p>
      <w:pPr>
        <w:jc w:val="center"/>
        <w:rPr>
          <w:rFonts w:ascii="隶书" w:eastAsia="隶书"/>
          <w:sz w:val="84"/>
        </w:rPr>
      </w:pPr>
      <w:r>
        <w:rPr>
          <w:rFonts w:hint="eastAsia" w:ascii="隶书" w:eastAsia="隶书"/>
          <w:sz w:val="84"/>
        </w:rPr>
        <w:t>定</w:t>
      </w:r>
    </w:p>
    <w:p>
      <w:pPr>
        <w:jc w:val="center"/>
        <w:rPr>
          <w:rFonts w:ascii="隶书" w:eastAsia="隶书"/>
          <w:sz w:val="84"/>
        </w:rPr>
      </w:pPr>
      <w:r>
        <w:rPr>
          <w:rFonts w:hint="eastAsia" w:ascii="隶书" w:eastAsia="隶书"/>
          <w:sz w:val="84"/>
        </w:rPr>
        <w:t>级</w:t>
      </w:r>
    </w:p>
    <w:p>
      <w:pPr>
        <w:jc w:val="center"/>
        <w:rPr>
          <w:rFonts w:ascii="隶书" w:eastAsia="隶书"/>
          <w:sz w:val="84"/>
        </w:rPr>
      </w:pPr>
      <w:r>
        <w:rPr>
          <w:rFonts w:hint="eastAsia" w:ascii="隶书" w:eastAsia="隶书"/>
          <w:sz w:val="84"/>
        </w:rPr>
        <w:t>报</w:t>
      </w:r>
    </w:p>
    <w:p>
      <w:pPr>
        <w:jc w:val="center"/>
        <w:rPr>
          <w:rFonts w:ascii="隶书" w:eastAsia="隶书"/>
          <w:sz w:val="84"/>
        </w:rPr>
      </w:pPr>
      <w:r>
        <w:rPr>
          <w:rFonts w:hint="eastAsia" w:ascii="隶书" w:eastAsia="隶书"/>
          <w:sz w:val="84"/>
        </w:rPr>
        <w:t>告</w:t>
      </w:r>
    </w:p>
    <w:p/>
    <w:p/>
    <w:p/>
    <w:p/>
    <w:p/>
    <w:p>
      <w:pPr>
        <w:jc w:val="center"/>
        <w:rPr>
          <w:b/>
          <w:spacing w:val="40"/>
          <w:sz w:val="36"/>
          <w:szCs w:val="36"/>
        </w:rPr>
      </w:pPr>
      <w:r>
        <w:rPr>
          <w:rFonts w:hint="eastAsia"/>
          <w:b/>
          <w:spacing w:val="40"/>
          <w:sz w:val="36"/>
          <w:szCs w:val="36"/>
        </w:rPr>
        <w:t>（</w:t>
      </w:r>
      <w:bookmarkStart w:id="0" w:name="_Hlk186106737"/>
      <w:r>
        <w:rPr>
          <w:rFonts w:hint="eastAsia"/>
          <w:b/>
          <w:spacing w:val="40"/>
          <w:sz w:val="36"/>
          <w:szCs w:val="36"/>
        </w:rPr>
        <w:t>成都索贝数码科技股份有限公司</w:t>
      </w:r>
      <w:bookmarkEnd w:id="0"/>
      <w:r>
        <w:rPr>
          <w:rFonts w:hint="eastAsia"/>
          <w:b/>
          <w:spacing w:val="40"/>
          <w:sz w:val="36"/>
          <w:szCs w:val="36"/>
        </w:rPr>
        <w:t>）</w:t>
      </w:r>
    </w:p>
    <w:p>
      <w:pPr>
        <w:jc w:val="center"/>
        <w:rPr>
          <w:b/>
          <w:spacing w:val="40"/>
          <w:sz w:val="30"/>
          <w:szCs w:val="30"/>
        </w:rPr>
      </w:pPr>
      <w:r>
        <w:rPr>
          <w:rFonts w:hint="eastAsia"/>
          <w:b/>
          <w:spacing w:val="40"/>
          <w:sz w:val="30"/>
          <w:szCs w:val="30"/>
          <w:lang w:val="en-US" w:eastAsia="zh-CN"/>
        </w:rPr>
        <w:t>2025</w:t>
      </w:r>
      <w:r>
        <w:rPr>
          <w:rFonts w:hint="eastAsia"/>
          <w:b/>
          <w:spacing w:val="40"/>
          <w:sz w:val="30"/>
          <w:szCs w:val="30"/>
        </w:rPr>
        <w:t>年</w:t>
      </w:r>
      <w:r>
        <w:rPr>
          <w:rFonts w:hint="eastAsia"/>
          <w:b/>
          <w:spacing w:val="40"/>
          <w:sz w:val="30"/>
          <w:szCs w:val="30"/>
          <w:lang w:val="en-US" w:eastAsia="zh-CN"/>
        </w:rPr>
        <w:t>01</w:t>
      </w:r>
      <w:r>
        <w:rPr>
          <w:rFonts w:hint="eastAsia"/>
          <w:b/>
          <w:spacing w:val="40"/>
          <w:sz w:val="30"/>
          <w:szCs w:val="30"/>
        </w:rPr>
        <w:t>月</w:t>
      </w:r>
      <w:r>
        <w:rPr>
          <w:rFonts w:hint="eastAsia"/>
          <w:b/>
          <w:spacing w:val="40"/>
          <w:sz w:val="30"/>
          <w:szCs w:val="30"/>
          <w:lang w:val="en-US" w:eastAsia="zh-CN"/>
        </w:rPr>
        <w:t>03</w:t>
      </w:r>
      <w:r>
        <w:rPr>
          <w:rFonts w:hint="eastAsia"/>
          <w:b/>
          <w:spacing w:val="40"/>
          <w:sz w:val="30"/>
          <w:szCs w:val="30"/>
        </w:rPr>
        <w:t>日</w:t>
      </w:r>
    </w:p>
    <w:p>
      <w:pPr>
        <w:widowControl/>
        <w:jc w:val="left"/>
        <w:rPr>
          <w:rFonts w:ascii="宋体" w:hAnsi="宋体" w:eastAsia="宋体" w:cs="宋体"/>
          <w:kern w:val="0"/>
          <w:sz w:val="24"/>
          <w:szCs w:val="24"/>
        </w:rPr>
      </w:pPr>
      <w:r>
        <w:rPr>
          <w:rFonts w:ascii="宋体" w:hAnsi="宋体" w:eastAsia="宋体" w:cs="宋体"/>
          <w:kern w:val="0"/>
          <w:sz w:val="24"/>
          <w:szCs w:val="24"/>
        </w:rPr>
        <w:br w:type="page"/>
      </w:r>
    </w:p>
    <w:p>
      <w:pPr>
        <w:pStyle w:val="2"/>
        <w:rPr>
          <w:rFonts w:ascii="黑体" w:hAnsi="黑体" w:eastAsia="黑体" w:cs="宋体"/>
          <w:b w:val="0"/>
          <w:kern w:val="0"/>
          <w:sz w:val="28"/>
          <w:szCs w:val="28"/>
        </w:rPr>
      </w:pPr>
      <w:r>
        <w:rPr>
          <w:rFonts w:hint="eastAsia" w:ascii="黑体" w:hAnsi="黑体" w:eastAsia="黑体" w:cs="宋体"/>
          <w:kern w:val="0"/>
          <w:sz w:val="28"/>
          <w:szCs w:val="28"/>
        </w:rPr>
        <w:t>一、索贝数码业务信息平台系统描述</w:t>
      </w:r>
    </w:p>
    <w:p>
      <w:pPr>
        <w:pStyle w:val="3"/>
        <w:rPr>
          <w:rFonts w:ascii="仿宋" w:hAnsi="仿宋" w:eastAsia="仿宋" w:cs="宋体"/>
          <w:kern w:val="0"/>
          <w:sz w:val="28"/>
          <w:szCs w:val="28"/>
        </w:rPr>
      </w:pPr>
      <w:r>
        <w:rPr>
          <w:rFonts w:hint="eastAsia" w:ascii="仿宋" w:hAnsi="仿宋" w:eastAsia="仿宋" w:cs="宋体"/>
          <w:kern w:val="0"/>
          <w:sz w:val="28"/>
          <w:szCs w:val="28"/>
        </w:rPr>
        <w:t>（一）系统概述</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highlight w:val="none"/>
        </w:rPr>
        <w:t>索贝数码业务信息平台系统于</w:t>
      </w:r>
      <w:r>
        <w:rPr>
          <w:rFonts w:ascii="仿宋" w:hAnsi="仿宋" w:eastAsia="仿宋" w:cs="宋体"/>
          <w:kern w:val="0"/>
          <w:sz w:val="28"/>
          <w:szCs w:val="28"/>
          <w:highlight w:val="none"/>
        </w:rPr>
        <w:t>2012</w:t>
      </w:r>
      <w:r>
        <w:rPr>
          <w:rFonts w:hint="eastAsia" w:ascii="仿宋" w:hAnsi="仿宋" w:eastAsia="仿宋" w:cs="宋体"/>
          <w:kern w:val="0"/>
          <w:sz w:val="28"/>
          <w:szCs w:val="28"/>
          <w:highlight w:val="none"/>
        </w:rPr>
        <w:t>年</w:t>
      </w:r>
      <w:r>
        <w:rPr>
          <w:rFonts w:ascii="仿宋" w:hAnsi="仿宋" w:eastAsia="仿宋" w:cs="宋体"/>
          <w:kern w:val="0"/>
          <w:sz w:val="28"/>
          <w:szCs w:val="28"/>
          <w:highlight w:val="none"/>
        </w:rPr>
        <w:t>4</w:t>
      </w:r>
      <w:r>
        <w:rPr>
          <w:rFonts w:hint="eastAsia" w:ascii="仿宋" w:hAnsi="仿宋" w:eastAsia="仿宋" w:cs="宋体"/>
          <w:kern w:val="0"/>
          <w:sz w:val="28"/>
          <w:szCs w:val="28"/>
          <w:highlight w:val="none"/>
        </w:rPr>
        <w:t>月</w:t>
      </w:r>
      <w:r>
        <w:rPr>
          <w:rFonts w:ascii="仿宋" w:hAnsi="仿宋" w:eastAsia="仿宋" w:cs="宋体"/>
          <w:kern w:val="0"/>
          <w:sz w:val="28"/>
          <w:szCs w:val="28"/>
          <w:highlight w:val="none"/>
        </w:rPr>
        <w:t>20</w:t>
      </w:r>
      <w:r>
        <w:rPr>
          <w:rFonts w:hint="eastAsia" w:ascii="仿宋" w:hAnsi="仿宋" w:eastAsia="仿宋" w:cs="宋体"/>
          <w:kern w:val="0"/>
          <w:sz w:val="28"/>
          <w:szCs w:val="28"/>
          <w:highlight w:val="none"/>
        </w:rPr>
        <w:t>日由成都索贝数码科技股份有限公司总工办立项，</w:t>
      </w:r>
      <w:r>
        <w:rPr>
          <w:rFonts w:hint="eastAsia" w:ascii="仿宋" w:hAnsi="仿宋" w:eastAsia="仿宋" w:cs="宋体"/>
          <w:kern w:val="0"/>
          <w:sz w:val="28"/>
          <w:szCs w:val="28"/>
        </w:rPr>
        <w:t>自主研发。目前该系统由成都索贝数码科技股份有限公司总工办负责运行维护。</w:t>
      </w:r>
      <w:r>
        <w:rPr>
          <w:rFonts w:hint="eastAsia" w:ascii="仿宋" w:hAnsi="仿宋" w:eastAsia="仿宋" w:cs="宋体"/>
          <w:kern w:val="0"/>
          <w:sz w:val="28"/>
          <w:szCs w:val="28"/>
          <w:highlight w:val="none"/>
        </w:rPr>
        <w:t>成都索贝数码科技股份有限公司为该信息系统的责任单位</w:t>
      </w:r>
      <w:r>
        <w:rPr>
          <w:rFonts w:hint="eastAsia" w:ascii="仿宋" w:hAnsi="仿宋" w:eastAsia="仿宋" w:cs="宋体"/>
          <w:kern w:val="0"/>
          <w:sz w:val="28"/>
          <w:szCs w:val="28"/>
        </w:rPr>
        <w:t>。</w:t>
      </w:r>
    </w:p>
    <w:p>
      <w:pPr>
        <w:pStyle w:val="3"/>
        <w:rPr>
          <w:rFonts w:ascii="仿宋" w:hAnsi="仿宋" w:eastAsia="仿宋" w:cs="宋体"/>
          <w:kern w:val="0"/>
          <w:sz w:val="28"/>
          <w:szCs w:val="28"/>
        </w:rPr>
      </w:pPr>
      <w:r>
        <w:rPr>
          <w:rFonts w:hint="eastAsia" w:ascii="仿宋" w:hAnsi="仿宋" w:eastAsia="仿宋" w:cs="宋体"/>
          <w:kern w:val="0"/>
          <w:sz w:val="28"/>
          <w:szCs w:val="28"/>
        </w:rPr>
        <w:t>（二）网络架构描述</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此系统是计算机及其相关的和配套的设备、设施构成的，是按照一定的应用目标和规则对</w:t>
      </w:r>
      <w:r>
        <w:rPr>
          <w:rFonts w:hint="eastAsia" w:ascii="仿宋" w:hAnsi="仿宋" w:eastAsia="仿宋" w:cs="宋体"/>
          <w:kern w:val="0"/>
          <w:sz w:val="28"/>
          <w:szCs w:val="28"/>
          <w:highlight w:val="none"/>
        </w:rPr>
        <w:t>索贝数码业</w:t>
      </w:r>
      <w:r>
        <w:rPr>
          <w:rFonts w:hint="eastAsia" w:ascii="仿宋" w:hAnsi="仿宋" w:eastAsia="仿宋" w:cs="宋体"/>
          <w:kern w:val="0"/>
          <w:sz w:val="28"/>
          <w:szCs w:val="28"/>
        </w:rPr>
        <w:t>务信息进行采集、加工、存储、传输、检索等处理的人机系统。网络拓扑图如下:</w:t>
      </w:r>
    </w:p>
    <w:p>
      <w:pPr>
        <w:widowControl/>
        <w:spacing w:line="240" w:lineRule="atLeast"/>
        <w:ind w:firstLine="420" w:firstLineChars="200"/>
        <w:jc w:val="left"/>
        <w:rPr>
          <w:rFonts w:ascii="仿宋" w:hAnsi="仿宋" w:eastAsia="仿宋" w:cs="宋体"/>
          <w:kern w:val="0"/>
          <w:sz w:val="28"/>
          <w:szCs w:val="28"/>
        </w:rPr>
      </w:pPr>
      <w:r>
        <w:drawing>
          <wp:inline distT="0" distB="0" distL="0" distR="0">
            <wp:extent cx="4925060" cy="23672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929596" cy="2369838"/>
                    </a:xfrm>
                    <a:prstGeom prst="rect">
                      <a:avLst/>
                    </a:prstGeom>
                    <a:noFill/>
                    <a:ln>
                      <a:noFill/>
                    </a:ln>
                  </pic:spPr>
                </pic:pic>
              </a:graphicData>
            </a:graphic>
          </wp:inline>
        </w:drawing>
      </w:r>
    </w:p>
    <w:p>
      <w:pPr>
        <w:pStyle w:val="3"/>
        <w:rPr>
          <w:rFonts w:ascii="仿宋" w:hAnsi="仿宋" w:eastAsia="仿宋" w:cs="宋体"/>
          <w:kern w:val="0"/>
          <w:sz w:val="28"/>
          <w:szCs w:val="28"/>
        </w:rPr>
      </w:pPr>
      <w:r>
        <w:rPr>
          <w:rFonts w:hint="eastAsia" w:ascii="仿宋" w:hAnsi="仿宋" w:eastAsia="仿宋" w:cs="宋体"/>
          <w:kern w:val="0"/>
          <w:sz w:val="28"/>
          <w:szCs w:val="28"/>
        </w:rPr>
        <w:t>（三）业务描</w:t>
      </w:r>
      <w:bookmarkStart w:id="2" w:name="_GoBack"/>
      <w:bookmarkEnd w:id="2"/>
      <w:r>
        <w:rPr>
          <w:rFonts w:hint="eastAsia" w:ascii="仿宋" w:hAnsi="仿宋" w:eastAsia="仿宋" w:cs="宋体"/>
          <w:kern w:val="0"/>
          <w:sz w:val="28"/>
          <w:szCs w:val="28"/>
        </w:rPr>
        <w:t>述</w:t>
      </w:r>
    </w:p>
    <w:p>
      <w:pPr>
        <w:widowControl/>
        <w:spacing w:line="240" w:lineRule="atLeast"/>
        <w:ind w:firstLine="560" w:firstLineChars="200"/>
        <w:jc w:val="left"/>
        <w:rPr>
          <w:rFonts w:hint="eastAsia" w:ascii="仿宋" w:hAnsi="仿宋" w:eastAsia="仿宋" w:cs="宋体"/>
          <w:kern w:val="0"/>
          <w:sz w:val="28"/>
          <w:szCs w:val="28"/>
          <w:highlight w:val="none"/>
        </w:rPr>
      </w:pPr>
      <w:bookmarkStart w:id="1" w:name="_Hlk186213679"/>
      <w:r>
        <w:rPr>
          <w:rFonts w:hint="eastAsia" w:ascii="仿宋" w:hAnsi="仿宋" w:eastAsia="仿宋" w:cs="宋体"/>
          <w:kern w:val="0"/>
          <w:sz w:val="28"/>
          <w:szCs w:val="28"/>
          <w:highlight w:val="none"/>
        </w:rPr>
        <w:t>索贝数码业务信息平台系统</w:t>
      </w:r>
      <w:bookmarkEnd w:id="1"/>
      <w:r>
        <w:rPr>
          <w:rFonts w:hint="eastAsia" w:ascii="仿宋" w:hAnsi="仿宋" w:eastAsia="仿宋" w:cs="宋体"/>
          <w:kern w:val="0"/>
          <w:sz w:val="28"/>
          <w:szCs w:val="28"/>
          <w:highlight w:val="none"/>
        </w:rPr>
        <w:t>业务主要包含：</w:t>
      </w:r>
    </w:p>
    <w:p>
      <w:pPr>
        <w:widowControl/>
        <w:spacing w:line="240" w:lineRule="atLeast"/>
        <w:ind w:firstLine="560" w:firstLineChars="200"/>
        <w:jc w:val="left"/>
        <w:rPr>
          <w:rFonts w:ascii="仿宋" w:hAnsi="仿宋" w:eastAsia="仿宋" w:cs="宋体"/>
          <w:kern w:val="0"/>
          <w:sz w:val="28"/>
          <w:szCs w:val="28"/>
          <w:highlight w:val="none"/>
        </w:rPr>
      </w:pPr>
      <w:r>
        <w:rPr>
          <w:rFonts w:ascii="仿宋" w:hAnsi="仿宋" w:eastAsia="仿宋" w:cs="宋体"/>
          <w:kern w:val="0"/>
          <w:sz w:val="28"/>
          <w:szCs w:val="28"/>
          <w:highlight w:val="none"/>
        </w:rPr>
        <w:t>1</w:t>
      </w:r>
      <w:r>
        <w:rPr>
          <w:rFonts w:hint="eastAsia" w:ascii="仿宋" w:hAnsi="仿宋" w:eastAsia="仿宋" w:cs="宋体"/>
          <w:kern w:val="0"/>
          <w:sz w:val="28"/>
          <w:szCs w:val="28"/>
          <w:highlight w:val="none"/>
        </w:rPr>
        <w:t>、产品信息共享，包括</w:t>
      </w:r>
      <w:r>
        <w:rPr>
          <w:rFonts w:hint="eastAsia" w:ascii="仿宋" w:hAnsi="仿宋" w:eastAsia="仿宋" w:cs="宋体"/>
          <w:spacing w:val="-10"/>
          <w:kern w:val="0"/>
          <w:sz w:val="28"/>
          <w:szCs w:val="28"/>
          <w:highlight w:val="none"/>
        </w:rPr>
        <w:t>公司所开发并公开销售的软硬件产品的技术信息</w:t>
      </w:r>
      <w:r>
        <w:rPr>
          <w:rFonts w:hint="eastAsia" w:ascii="仿宋" w:hAnsi="仿宋" w:eastAsia="仿宋" w:cs="宋体"/>
          <w:kern w:val="0"/>
          <w:sz w:val="28"/>
          <w:szCs w:val="28"/>
          <w:highlight w:val="none"/>
        </w:rPr>
        <w:t>、运维文档，以便相关技术、运维人员掌握公司的产品使用及维护技术；</w:t>
      </w:r>
      <w:r>
        <w:rPr>
          <w:rFonts w:hint="eastAsia" w:ascii="仿宋" w:hAnsi="仿宋" w:eastAsia="仿宋" w:cs="宋体"/>
          <w:spacing w:val="-10"/>
          <w:kern w:val="0"/>
          <w:sz w:val="28"/>
          <w:szCs w:val="28"/>
          <w:highlight w:val="none"/>
          <w:lang w:eastAsia="zh-CN"/>
        </w:rPr>
        <w:t>成都索贝数码科技股份有限公司</w:t>
      </w:r>
      <w:r>
        <w:rPr>
          <w:rFonts w:hint="eastAsia" w:ascii="仿宋" w:hAnsi="仿宋" w:eastAsia="仿宋" w:cs="宋体"/>
          <w:spacing w:val="-10"/>
          <w:kern w:val="0"/>
          <w:sz w:val="28"/>
          <w:szCs w:val="28"/>
          <w:highlight w:val="none"/>
        </w:rPr>
        <w:t>所承接的项目基础信息，以便相关技术人员分析和排查项目中涉及到的</w:t>
      </w:r>
      <w:r>
        <w:rPr>
          <w:rFonts w:hint="eastAsia" w:ascii="仿宋" w:hAnsi="仿宋" w:eastAsia="仿宋" w:cs="宋体"/>
          <w:spacing w:val="-10"/>
          <w:kern w:val="0"/>
          <w:sz w:val="28"/>
          <w:szCs w:val="28"/>
          <w:highlight w:val="none"/>
          <w:lang w:eastAsia="zh-CN"/>
        </w:rPr>
        <w:t>成都索贝数码科技股份有限公司</w:t>
      </w:r>
      <w:r>
        <w:rPr>
          <w:rFonts w:hint="eastAsia" w:ascii="仿宋" w:hAnsi="仿宋" w:eastAsia="仿宋" w:cs="宋体"/>
          <w:spacing w:val="-10"/>
          <w:kern w:val="0"/>
          <w:sz w:val="28"/>
          <w:szCs w:val="28"/>
          <w:highlight w:val="none"/>
        </w:rPr>
        <w:t>的产品的软硬件问题、功能需求</w:t>
      </w:r>
      <w:r>
        <w:rPr>
          <w:rFonts w:hint="eastAsia" w:ascii="仿宋" w:hAnsi="仿宋" w:eastAsia="仿宋" w:cs="宋体"/>
          <w:kern w:val="0"/>
          <w:sz w:val="28"/>
          <w:szCs w:val="28"/>
          <w:highlight w:val="none"/>
        </w:rPr>
        <w:t>。</w:t>
      </w:r>
    </w:p>
    <w:p>
      <w:pPr>
        <w:widowControl/>
        <w:spacing w:line="240" w:lineRule="atLeast"/>
        <w:ind w:firstLine="560" w:firstLineChars="200"/>
        <w:jc w:val="left"/>
        <w:rPr>
          <w:rFonts w:ascii="仿宋" w:hAnsi="仿宋" w:eastAsia="仿宋" w:cs="宋体"/>
          <w:kern w:val="0"/>
          <w:sz w:val="28"/>
          <w:szCs w:val="28"/>
          <w:highlight w:val="none"/>
        </w:rPr>
      </w:pPr>
      <w:r>
        <w:rPr>
          <w:rFonts w:ascii="仿宋" w:hAnsi="仿宋" w:eastAsia="仿宋" w:cs="宋体"/>
          <w:kern w:val="0"/>
          <w:sz w:val="28"/>
          <w:szCs w:val="28"/>
          <w:highlight w:val="none"/>
        </w:rPr>
        <w:t>2</w:t>
      </w:r>
      <w:r>
        <w:rPr>
          <w:rFonts w:hint="eastAsia" w:ascii="仿宋" w:hAnsi="仿宋" w:eastAsia="仿宋" w:cs="宋体"/>
          <w:kern w:val="0"/>
          <w:sz w:val="28"/>
          <w:szCs w:val="28"/>
          <w:highlight w:val="none"/>
        </w:rPr>
        <w:t>、系统为技术人员提供反馈和处理公司产品的问题和需求的相关服务，包括项目现场人员提出项目相关的问题和需求，研发人员针对这些问题的处理反馈，以及双方在处理过程中相关的信息交换。</w:t>
      </w:r>
    </w:p>
    <w:p>
      <w:pPr>
        <w:widowControl/>
        <w:spacing w:line="240" w:lineRule="atLeast"/>
        <w:ind w:firstLine="560" w:firstLineChars="200"/>
        <w:jc w:val="left"/>
        <w:rPr>
          <w:rFonts w:ascii="仿宋" w:hAnsi="仿宋" w:eastAsia="仿宋" w:cs="宋体"/>
          <w:kern w:val="0"/>
          <w:sz w:val="28"/>
          <w:szCs w:val="28"/>
          <w:highlight w:val="none"/>
        </w:rPr>
      </w:pPr>
      <w:r>
        <w:rPr>
          <w:rFonts w:hint="eastAsia" w:ascii="仿宋" w:hAnsi="仿宋" w:eastAsia="仿宋" w:cs="宋体"/>
          <w:kern w:val="0"/>
          <w:sz w:val="28"/>
          <w:szCs w:val="28"/>
          <w:highlight w:val="none"/>
        </w:rPr>
        <w:t>3、系统还包括为</w:t>
      </w:r>
      <w:r>
        <w:rPr>
          <w:rFonts w:hint="eastAsia" w:ascii="仿宋" w:hAnsi="仿宋" w:eastAsia="仿宋" w:cs="宋体"/>
          <w:spacing w:val="-10"/>
          <w:kern w:val="0"/>
          <w:sz w:val="28"/>
          <w:szCs w:val="28"/>
          <w:highlight w:val="none"/>
        </w:rPr>
        <w:t>对</w:t>
      </w:r>
      <w:r>
        <w:rPr>
          <w:rFonts w:hint="eastAsia" w:ascii="仿宋" w:hAnsi="仿宋" w:eastAsia="仿宋" w:cs="宋体"/>
          <w:spacing w:val="-10"/>
          <w:kern w:val="0"/>
          <w:sz w:val="28"/>
          <w:szCs w:val="28"/>
          <w:highlight w:val="none"/>
          <w:lang w:eastAsia="zh-CN"/>
        </w:rPr>
        <w:t>成都索贝数码科技股份有限公司</w:t>
      </w:r>
      <w:r>
        <w:rPr>
          <w:rFonts w:hint="eastAsia" w:ascii="仿宋" w:hAnsi="仿宋" w:eastAsia="仿宋" w:cs="宋体"/>
          <w:spacing w:val="-10"/>
          <w:kern w:val="0"/>
          <w:sz w:val="28"/>
          <w:szCs w:val="28"/>
          <w:highlight w:val="none"/>
        </w:rPr>
        <w:t>销售的部分产品的使用提供许可服务</w:t>
      </w:r>
      <w:r>
        <w:rPr>
          <w:rFonts w:hint="eastAsia" w:ascii="仿宋" w:hAnsi="仿宋" w:eastAsia="仿宋" w:cs="宋体"/>
          <w:kern w:val="0"/>
          <w:sz w:val="28"/>
          <w:szCs w:val="28"/>
          <w:highlight w:val="none"/>
        </w:rPr>
        <w:t>等。</w:t>
      </w:r>
    </w:p>
    <w:p>
      <w:pPr>
        <w:pStyle w:val="2"/>
        <w:rPr>
          <w:rFonts w:ascii="黑体" w:hAnsi="黑体" w:eastAsia="黑体" w:cs="宋体"/>
          <w:kern w:val="0"/>
          <w:sz w:val="28"/>
          <w:szCs w:val="28"/>
        </w:rPr>
      </w:pPr>
      <w:r>
        <w:rPr>
          <w:rFonts w:hint="eastAsia" w:ascii="黑体" w:hAnsi="黑体" w:eastAsia="黑体" w:cs="宋体"/>
          <w:kern w:val="0"/>
          <w:sz w:val="28"/>
          <w:szCs w:val="28"/>
        </w:rPr>
        <w:t>二、索贝数码业务信息平台系统网络安全保护等级的确定</w:t>
      </w:r>
    </w:p>
    <w:p>
      <w:pPr>
        <w:pStyle w:val="3"/>
        <w:rPr>
          <w:rFonts w:ascii="仿宋" w:hAnsi="仿宋" w:eastAsia="仿宋" w:cs="宋体"/>
          <w:kern w:val="0"/>
          <w:sz w:val="28"/>
          <w:szCs w:val="28"/>
        </w:rPr>
      </w:pPr>
      <w:r>
        <w:rPr>
          <w:rFonts w:hint="eastAsia" w:ascii="仿宋" w:hAnsi="仿宋" w:eastAsia="仿宋" w:cs="宋体"/>
          <w:kern w:val="0"/>
          <w:sz w:val="28"/>
          <w:szCs w:val="28"/>
        </w:rPr>
        <w:t>（一）定级依据</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1、《计算机信息系统安全保护等级划分准则》（GB 17859-1999）</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2</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《信息安全技术 网络安全等级保护定级指南》（GB/T 22240-20</w:t>
      </w:r>
      <w:r>
        <w:rPr>
          <w:rFonts w:ascii="仿宋" w:hAnsi="仿宋" w:eastAsia="仿宋" w:cs="宋体"/>
          <w:kern w:val="0"/>
          <w:sz w:val="28"/>
          <w:szCs w:val="28"/>
        </w:rPr>
        <w:t>20</w:t>
      </w:r>
      <w:r>
        <w:rPr>
          <w:rFonts w:hint="eastAsia" w:ascii="仿宋" w:hAnsi="仿宋" w:eastAsia="仿宋" w:cs="宋体"/>
          <w:kern w:val="0"/>
          <w:sz w:val="28"/>
          <w:szCs w:val="28"/>
        </w:rPr>
        <w:t>）（以下简称“《定级指南》”）</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3、《中华人民共和国网络安全法》</w:t>
      </w:r>
    </w:p>
    <w:p>
      <w:pPr>
        <w:pStyle w:val="3"/>
        <w:rPr>
          <w:rFonts w:ascii="仿宋" w:hAnsi="仿宋" w:eastAsia="仿宋" w:cs="宋体"/>
          <w:kern w:val="0"/>
          <w:sz w:val="28"/>
          <w:szCs w:val="28"/>
        </w:rPr>
      </w:pPr>
      <w:r>
        <w:rPr>
          <w:rFonts w:hint="eastAsia" w:ascii="仿宋" w:hAnsi="仿宋" w:eastAsia="仿宋" w:cs="宋体"/>
          <w:kern w:val="0"/>
          <w:sz w:val="28"/>
          <w:szCs w:val="28"/>
        </w:rPr>
        <w:t>（二）业务信息安全保护等级的确定</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1、业务信息描述</w:t>
      </w:r>
    </w:p>
    <w:p>
      <w:pPr>
        <w:widowControl/>
        <w:spacing w:line="240" w:lineRule="atLeast"/>
        <w:ind w:firstLine="560" w:firstLineChars="200"/>
        <w:jc w:val="left"/>
        <w:rPr>
          <w:rFonts w:ascii="仿宋" w:hAnsi="仿宋" w:eastAsia="仿宋" w:cs="宋体"/>
          <w:color w:val="FF0000"/>
          <w:kern w:val="0"/>
          <w:sz w:val="28"/>
          <w:szCs w:val="28"/>
          <w:highlight w:val="none"/>
        </w:rPr>
      </w:pPr>
      <w:r>
        <w:rPr>
          <w:rFonts w:hint="eastAsia" w:ascii="仿宋" w:hAnsi="仿宋" w:eastAsia="仿宋" w:cs="宋体"/>
          <w:kern w:val="0"/>
          <w:sz w:val="28"/>
          <w:szCs w:val="28"/>
          <w:highlight w:val="none"/>
        </w:rPr>
        <w:t>索贝数码业务信息平台系统的</w:t>
      </w:r>
      <w:r>
        <w:rPr>
          <w:rFonts w:hint="eastAsia" w:ascii="仿宋" w:hAnsi="仿宋" w:eastAsia="仿宋" w:cs="宋体"/>
          <w:spacing w:val="-10"/>
          <w:kern w:val="0"/>
          <w:sz w:val="28"/>
          <w:szCs w:val="28"/>
          <w:highlight w:val="none"/>
        </w:rPr>
        <w:t>业务信息包括：</w:t>
      </w:r>
      <w:r>
        <w:rPr>
          <w:rFonts w:hint="eastAsia" w:ascii="仿宋" w:hAnsi="仿宋" w:eastAsia="仿宋" w:cs="宋体"/>
          <w:spacing w:val="-10"/>
          <w:kern w:val="0"/>
          <w:sz w:val="28"/>
          <w:szCs w:val="28"/>
          <w:highlight w:val="none"/>
          <w:lang w:eastAsia="zh-CN"/>
        </w:rPr>
        <w:t>成都索贝数码科技股份有限公司</w:t>
      </w:r>
      <w:r>
        <w:rPr>
          <w:rFonts w:hint="eastAsia" w:ascii="仿宋" w:hAnsi="仿宋" w:eastAsia="仿宋" w:cs="宋体"/>
          <w:spacing w:val="-10"/>
          <w:kern w:val="0"/>
          <w:sz w:val="28"/>
          <w:szCs w:val="28"/>
          <w:highlight w:val="none"/>
        </w:rPr>
        <w:t>公开发布的产品信息，</w:t>
      </w:r>
      <w:r>
        <w:rPr>
          <w:rFonts w:hint="eastAsia" w:ascii="仿宋" w:hAnsi="仿宋" w:eastAsia="仿宋" w:cs="宋体"/>
          <w:spacing w:val="-10"/>
          <w:kern w:val="0"/>
          <w:sz w:val="28"/>
          <w:szCs w:val="28"/>
          <w:highlight w:val="none"/>
          <w:lang w:eastAsia="zh-CN"/>
        </w:rPr>
        <w:t>成都索贝数码科技股份有限公司</w:t>
      </w:r>
      <w:r>
        <w:rPr>
          <w:rFonts w:hint="eastAsia" w:ascii="仿宋" w:hAnsi="仿宋" w:eastAsia="仿宋" w:cs="宋体"/>
          <w:spacing w:val="-10"/>
          <w:kern w:val="0"/>
          <w:sz w:val="28"/>
          <w:szCs w:val="28"/>
          <w:highlight w:val="none"/>
        </w:rPr>
        <w:t>所承接的项目基础信息，项目中涉及到的</w:t>
      </w:r>
      <w:r>
        <w:rPr>
          <w:rFonts w:hint="eastAsia" w:ascii="仿宋" w:hAnsi="仿宋" w:eastAsia="仿宋" w:cs="宋体"/>
          <w:spacing w:val="-10"/>
          <w:kern w:val="0"/>
          <w:sz w:val="28"/>
          <w:szCs w:val="28"/>
          <w:highlight w:val="none"/>
          <w:lang w:eastAsia="zh-CN"/>
        </w:rPr>
        <w:t>成都索贝数码科技股份有限公司</w:t>
      </w:r>
      <w:r>
        <w:rPr>
          <w:rFonts w:hint="eastAsia" w:ascii="仿宋" w:hAnsi="仿宋" w:eastAsia="仿宋" w:cs="宋体"/>
          <w:spacing w:val="-10"/>
          <w:kern w:val="0"/>
          <w:sz w:val="28"/>
          <w:szCs w:val="28"/>
          <w:highlight w:val="none"/>
        </w:rPr>
        <w:t>的产品的软硬件问题、功能需求的情况，以及针对这些软硬件问题、功能需求的沟通交流、研发改进结果等信息,对</w:t>
      </w:r>
      <w:r>
        <w:rPr>
          <w:rFonts w:hint="eastAsia" w:ascii="仿宋" w:hAnsi="仿宋" w:eastAsia="仿宋" w:cs="宋体"/>
          <w:spacing w:val="-10"/>
          <w:kern w:val="0"/>
          <w:sz w:val="28"/>
          <w:szCs w:val="28"/>
          <w:highlight w:val="none"/>
          <w:lang w:eastAsia="zh-CN"/>
        </w:rPr>
        <w:t>成都索贝数码科技股份有限公司</w:t>
      </w:r>
      <w:r>
        <w:rPr>
          <w:rFonts w:hint="eastAsia" w:ascii="仿宋" w:hAnsi="仿宋" w:eastAsia="仿宋" w:cs="宋体"/>
          <w:spacing w:val="-10"/>
          <w:kern w:val="0"/>
          <w:sz w:val="28"/>
          <w:szCs w:val="28"/>
          <w:highlight w:val="none"/>
        </w:rPr>
        <w:t>销售的产品的使用许可信息。</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2、业务信息受到破坏时所侵害客体的确定（侵害的客体包括：1国家安全 2社会秩序和公共利益 3公民、法人和其他组织的合法权益等共三个客体）</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该业务信息遭到</w:t>
      </w:r>
      <w:r>
        <w:rPr>
          <w:rFonts w:hint="eastAsia" w:ascii="仿宋" w:hAnsi="仿宋" w:eastAsia="仿宋" w:cs="宋体"/>
          <w:spacing w:val="-10"/>
          <w:kern w:val="0"/>
          <w:sz w:val="28"/>
          <w:szCs w:val="28"/>
        </w:rPr>
        <w:t>破坏</w:t>
      </w:r>
      <w:r>
        <w:rPr>
          <w:rFonts w:hint="eastAsia" w:ascii="仿宋" w:hAnsi="仿宋" w:eastAsia="仿宋" w:cs="宋体"/>
          <w:kern w:val="0"/>
          <w:sz w:val="28"/>
          <w:szCs w:val="28"/>
        </w:rPr>
        <w:t>后，不会对国家政权稳固和国防实力、国家统一、民族团结和社会安定、国家对外活动中的政治、经济利益、国家重要的安全保卫工作、国家经济竞争力和科技实力以及其他影响国家安全的事项造成影响；</w:t>
      </w:r>
      <w:r>
        <w:rPr>
          <w:rFonts w:hint="eastAsia" w:ascii="仿宋" w:hAnsi="仿宋" w:eastAsia="仿宋" w:cs="宋体"/>
          <w:kern w:val="0"/>
          <w:sz w:val="28"/>
          <w:szCs w:val="28"/>
          <w:highlight w:val="none"/>
        </w:rPr>
        <w:t>但会在一定程度上造成</w:t>
      </w:r>
      <w:r>
        <w:rPr>
          <w:rFonts w:hint="eastAsia" w:ascii="仿宋" w:hAnsi="仿宋" w:eastAsia="仿宋" w:cs="宋体"/>
          <w:kern w:val="0"/>
          <w:sz w:val="28"/>
          <w:szCs w:val="28"/>
          <w:highlight w:val="none"/>
          <w:lang w:val="en-US" w:eastAsia="zh-CN"/>
        </w:rPr>
        <w:t>信息</w:t>
      </w:r>
      <w:r>
        <w:rPr>
          <w:rFonts w:hint="eastAsia" w:ascii="仿宋" w:hAnsi="仿宋" w:eastAsia="仿宋" w:cs="宋体"/>
          <w:kern w:val="0"/>
          <w:sz w:val="28"/>
          <w:szCs w:val="28"/>
          <w:highlight w:val="none"/>
        </w:rPr>
        <w:t>被篡改或泄露，</w:t>
      </w:r>
      <w:r>
        <w:rPr>
          <w:rFonts w:hint="eastAsia" w:ascii="仿宋" w:hAnsi="仿宋" w:eastAsia="仿宋" w:cs="宋体"/>
          <w:kern w:val="0"/>
          <w:sz w:val="28"/>
          <w:szCs w:val="28"/>
          <w:highlight w:val="none"/>
          <w:lang w:val="en-US" w:eastAsia="zh-CN"/>
        </w:rPr>
        <w:t>导致</w:t>
      </w:r>
      <w:r>
        <w:rPr>
          <w:rFonts w:hint="eastAsia" w:ascii="仿宋" w:hAnsi="仿宋" w:eastAsia="仿宋" w:cs="宋体"/>
          <w:kern w:val="0"/>
          <w:sz w:val="28"/>
          <w:szCs w:val="28"/>
          <w:highlight w:val="none"/>
        </w:rPr>
        <w:t>成都索贝数码科技股份有限公司的商业利益</w:t>
      </w:r>
      <w:r>
        <w:rPr>
          <w:rFonts w:hint="eastAsia" w:ascii="仿宋" w:hAnsi="仿宋" w:eastAsia="仿宋" w:cs="宋体"/>
          <w:kern w:val="0"/>
          <w:sz w:val="28"/>
          <w:szCs w:val="28"/>
          <w:highlight w:val="none"/>
          <w:lang w:val="en-US" w:eastAsia="zh-CN"/>
        </w:rPr>
        <w:t>遭受</w:t>
      </w:r>
      <w:r>
        <w:rPr>
          <w:rFonts w:hint="eastAsia" w:ascii="仿宋" w:hAnsi="仿宋" w:eastAsia="仿宋" w:cs="宋体"/>
          <w:kern w:val="0"/>
          <w:sz w:val="28"/>
          <w:szCs w:val="28"/>
          <w:highlight w:val="none"/>
        </w:rPr>
        <w:t>侵害。因此， 索贝数码业务信息平台系统业务信息安全</w:t>
      </w:r>
      <w:r>
        <w:rPr>
          <w:rFonts w:hint="eastAsia" w:ascii="仿宋" w:hAnsi="仿宋" w:eastAsia="仿宋" w:cs="宋体"/>
          <w:kern w:val="0"/>
          <w:sz w:val="28"/>
          <w:szCs w:val="28"/>
        </w:rPr>
        <w:t>遭到破坏后所侵害的客体是公民、法人和其他组织的合法权益以及社会秩序、公共利益。</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侵害的客观方面（客观方面是指定级对象的具体侵害行为，侵害形式以及对客体的造成的侵害结果）表现为：一旦信息系统的业务信息遭到入侵、修改、增加、删除等不明侵害（形式可以包括丢失、破坏、损坏等），</w:t>
      </w:r>
      <w:r>
        <w:rPr>
          <w:rFonts w:hint="eastAsia" w:ascii="仿宋" w:hAnsi="仿宋" w:eastAsia="仿宋" w:cs="宋体"/>
          <w:kern w:val="0"/>
          <w:sz w:val="28"/>
          <w:szCs w:val="28"/>
          <w:highlight w:val="none"/>
        </w:rPr>
        <w:t>会对公民、法人和其他组织的合法权益造成影响和损害，</w:t>
      </w:r>
      <w:r>
        <w:rPr>
          <w:rFonts w:hint="eastAsia" w:ascii="仿宋" w:hAnsi="仿宋" w:eastAsia="仿宋" w:cs="宋体"/>
          <w:kern w:val="0"/>
          <w:sz w:val="28"/>
          <w:szCs w:val="28"/>
        </w:rPr>
        <w:t>可以表现为：</w:t>
      </w:r>
      <w:r>
        <w:rPr>
          <w:rFonts w:hint="eastAsia" w:ascii="仿宋" w:hAnsi="仿宋" w:eastAsia="仿宋" w:cs="宋体"/>
          <w:kern w:val="0"/>
          <w:sz w:val="28"/>
          <w:szCs w:val="28"/>
          <w:lang w:eastAsia="zh-CN"/>
        </w:rPr>
        <w:t>成都索贝数码科技股份有限公司</w:t>
      </w:r>
      <w:r>
        <w:rPr>
          <w:rFonts w:hint="eastAsia" w:ascii="仿宋" w:hAnsi="仿宋" w:eastAsia="仿宋" w:cs="宋体"/>
          <w:kern w:val="0"/>
          <w:sz w:val="28"/>
          <w:szCs w:val="28"/>
        </w:rPr>
        <w:t>的所签署的项目、及索贝的产品功能和质量信息被篡改或泄露，影响成都索贝数码科技股份有限公司的商业利益造成侵害</w:t>
      </w:r>
      <w:r>
        <w:rPr>
          <w:rFonts w:hint="eastAsia" w:ascii="仿宋" w:hAnsi="仿宋" w:eastAsia="仿宋" w:cs="宋体"/>
          <w:kern w:val="0"/>
          <w:sz w:val="28"/>
          <w:szCs w:val="28"/>
          <w:highlight w:val="none"/>
          <w:lang w:eastAsia="zh-CN"/>
        </w:rPr>
        <w:t>，</w:t>
      </w:r>
      <w:r>
        <w:rPr>
          <w:rFonts w:hint="eastAsia" w:ascii="仿宋" w:hAnsi="仿宋" w:eastAsia="仿宋" w:cs="宋体"/>
          <w:kern w:val="0"/>
          <w:sz w:val="28"/>
          <w:szCs w:val="28"/>
          <w:highlight w:val="none"/>
        </w:rPr>
        <w:t>影响成都索贝数码科技股份有限公司的商业利益，造成社会负面影响等。</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3、信息受到破坏后对侵害客体的侵害程度（即上述分析的结果的表现程度）</w:t>
      </w:r>
    </w:p>
    <w:p>
      <w:pPr>
        <w:widowControl/>
        <w:spacing w:line="240" w:lineRule="atLeast"/>
        <w:ind w:firstLine="560" w:firstLineChars="200"/>
        <w:jc w:val="left"/>
        <w:rPr>
          <w:rFonts w:ascii="仿宋" w:hAnsi="仿宋" w:eastAsia="仿宋" w:cs="宋体"/>
          <w:kern w:val="0"/>
          <w:sz w:val="28"/>
          <w:szCs w:val="28"/>
          <w:highlight w:val="none"/>
        </w:rPr>
      </w:pPr>
      <w:r>
        <w:rPr>
          <w:rFonts w:hint="eastAsia" w:ascii="仿宋" w:hAnsi="仿宋" w:eastAsia="仿宋" w:cs="宋体"/>
          <w:kern w:val="0"/>
          <w:sz w:val="28"/>
          <w:szCs w:val="28"/>
          <w:highlight w:val="none"/>
        </w:rPr>
        <w:t>上述结果的程度表现为对公民、法人和其他组织的合法权益造成</w:t>
      </w:r>
      <w:r>
        <w:rPr>
          <w:rFonts w:hint="eastAsia" w:ascii="仿宋" w:hAnsi="仿宋" w:eastAsia="仿宋" w:cs="宋体"/>
          <w:b/>
          <w:bCs/>
          <w:kern w:val="0"/>
          <w:sz w:val="28"/>
          <w:szCs w:val="28"/>
          <w:highlight w:val="none"/>
        </w:rPr>
        <w:t>一般损害。</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4、确定业务信息安全等级</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根据业务信息受到破坏产生侵害的客观方面表现，并结合《定级指南》表2，业务信息安全受到破坏后侵害程度如表1所示：</w:t>
      </w:r>
    </w:p>
    <w:p>
      <w:pPr>
        <w:widowControl/>
        <w:spacing w:before="156" w:beforeLines="50" w:after="156" w:afterLines="50" w:line="240" w:lineRule="atLeast"/>
        <w:ind w:firstLine="480" w:firstLineChars="200"/>
        <w:jc w:val="center"/>
        <w:rPr>
          <w:rFonts w:ascii="宋体" w:hAnsi="宋体" w:eastAsia="宋体" w:cs="宋体"/>
          <w:kern w:val="0"/>
          <w:sz w:val="24"/>
          <w:szCs w:val="28"/>
        </w:rPr>
      </w:pPr>
      <w:r>
        <w:rPr>
          <w:rFonts w:hint="eastAsia" w:ascii="宋体" w:hAnsi="宋体" w:eastAsia="宋体" w:cs="宋体"/>
          <w:kern w:val="0"/>
          <w:sz w:val="24"/>
          <w:szCs w:val="28"/>
        </w:rPr>
        <w:t>表1业务信息安全保护等级矩阵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2830"/>
        <w:gridCol w:w="1843"/>
        <w:gridCol w:w="1843"/>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c>
          <w:tcPr>
            <w:tcW w:w="2830" w:type="dxa"/>
            <w:vMerge w:val="restart"/>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业务信息安全被破坏时所侵害的客体</w:t>
            </w:r>
          </w:p>
        </w:tc>
        <w:tc>
          <w:tcPr>
            <w:tcW w:w="5466" w:type="dxa"/>
            <w:gridSpan w:val="3"/>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对相应客体的侵害程度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c>
          <w:tcPr>
            <w:tcW w:w="2830" w:type="dxa"/>
            <w:vMerge w:val="continue"/>
            <w:shd w:val="clear" w:color="auto" w:fill="FFFFFF" w:themeFill="background1"/>
            <w:vAlign w:val="center"/>
          </w:tcPr>
          <w:p>
            <w:pPr>
              <w:widowControl/>
              <w:jc w:val="center"/>
              <w:rPr>
                <w:rFonts w:ascii="宋体" w:hAnsi="宋体" w:eastAsia="宋体" w:cs="宋体"/>
                <w:kern w:val="0"/>
                <w:sz w:val="24"/>
                <w:szCs w:val="28"/>
              </w:rPr>
            </w:pPr>
          </w:p>
        </w:tc>
        <w:tc>
          <w:tcPr>
            <w:tcW w:w="1843"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一般损害</w:t>
            </w:r>
          </w:p>
        </w:tc>
        <w:tc>
          <w:tcPr>
            <w:tcW w:w="1843"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严重损害</w:t>
            </w:r>
          </w:p>
        </w:tc>
        <w:tc>
          <w:tcPr>
            <w:tcW w:w="1780"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特别严重损害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公民、法人和其他组织的合法权益</w:t>
            </w:r>
          </w:p>
        </w:tc>
        <w:tc>
          <w:tcPr>
            <w:tcW w:w="1843" w:type="dxa"/>
            <w:shd w:val="clear" w:color="auto" w:fill="00B0F0"/>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c>
          <w:tcPr>
            <w:tcW w:w="1843"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c>
          <w:tcPr>
            <w:tcW w:w="1780"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社会秩序、公共利益</w:t>
            </w:r>
          </w:p>
        </w:tc>
        <w:tc>
          <w:tcPr>
            <w:tcW w:w="1843"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c>
          <w:tcPr>
            <w:tcW w:w="1843"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第三级</w:t>
            </w:r>
          </w:p>
        </w:tc>
        <w:tc>
          <w:tcPr>
            <w:tcW w:w="1780"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第四级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国家安全</w:t>
            </w:r>
          </w:p>
        </w:tc>
        <w:tc>
          <w:tcPr>
            <w:tcW w:w="1843"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第三级</w:t>
            </w:r>
          </w:p>
        </w:tc>
        <w:tc>
          <w:tcPr>
            <w:tcW w:w="1843"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第四级</w:t>
            </w:r>
          </w:p>
        </w:tc>
        <w:tc>
          <w:tcPr>
            <w:tcW w:w="1780"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第五级</w:t>
            </w:r>
          </w:p>
        </w:tc>
      </w:tr>
    </w:tbl>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highlight w:val="none"/>
        </w:rPr>
        <w:t>因此，确定成都索贝数码科技股份有限公司的索贝数码业务信息平台系统业务</w:t>
      </w:r>
      <w:r>
        <w:rPr>
          <w:rFonts w:hint="eastAsia" w:ascii="仿宋" w:hAnsi="仿宋" w:eastAsia="仿宋" w:cs="宋体"/>
          <w:kern w:val="0"/>
          <w:sz w:val="28"/>
          <w:szCs w:val="28"/>
        </w:rPr>
        <w:t>信息安全受到破坏时，对公民、法人和其他组织的合法权益以及社会秩</w:t>
      </w:r>
      <w:r>
        <w:rPr>
          <w:rFonts w:hint="eastAsia" w:ascii="仿宋" w:hAnsi="仿宋" w:eastAsia="仿宋" w:cs="宋体"/>
          <w:kern w:val="0"/>
          <w:sz w:val="28"/>
          <w:szCs w:val="28"/>
          <w:highlight w:val="none"/>
        </w:rPr>
        <w:t>序、公共利益造成</w:t>
      </w:r>
      <w:r>
        <w:rPr>
          <w:rFonts w:hint="eastAsia" w:ascii="仿宋" w:hAnsi="仿宋" w:eastAsia="仿宋" w:cs="宋体"/>
          <w:b/>
          <w:bCs/>
          <w:kern w:val="0"/>
          <w:sz w:val="28"/>
          <w:szCs w:val="28"/>
          <w:highlight w:val="none"/>
        </w:rPr>
        <w:t>一般损害</w:t>
      </w:r>
      <w:r>
        <w:rPr>
          <w:rFonts w:hint="eastAsia" w:ascii="仿宋" w:hAnsi="仿宋" w:eastAsia="仿宋" w:cs="宋体"/>
          <w:kern w:val="0"/>
          <w:sz w:val="28"/>
          <w:szCs w:val="28"/>
          <w:highlight w:val="none"/>
        </w:rPr>
        <w:t>，所以业务信息安全保护等级确定为第一</w:t>
      </w:r>
      <w:r>
        <w:rPr>
          <w:rFonts w:hint="eastAsia" w:ascii="仿宋" w:hAnsi="仿宋" w:eastAsia="仿宋" w:cs="宋体"/>
          <w:kern w:val="0"/>
          <w:sz w:val="28"/>
          <w:szCs w:val="28"/>
        </w:rPr>
        <w:t>级。</w:t>
      </w:r>
    </w:p>
    <w:p>
      <w:pPr>
        <w:pStyle w:val="3"/>
        <w:rPr>
          <w:rFonts w:ascii="仿宋" w:hAnsi="仿宋" w:eastAsia="仿宋" w:cs="宋体"/>
          <w:kern w:val="0"/>
          <w:sz w:val="28"/>
          <w:szCs w:val="28"/>
        </w:rPr>
      </w:pPr>
      <w:r>
        <w:rPr>
          <w:rFonts w:hint="eastAsia" w:ascii="仿宋" w:hAnsi="仿宋" w:eastAsia="仿宋" w:cs="宋体"/>
          <w:kern w:val="0"/>
          <w:sz w:val="28"/>
          <w:szCs w:val="28"/>
        </w:rPr>
        <w:t>（三）系统服务安全保护等级的确定</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1、系统服务描述</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color w:val="auto"/>
          <w:kern w:val="0"/>
          <w:sz w:val="28"/>
          <w:szCs w:val="28"/>
          <w:highlight w:val="none"/>
        </w:rPr>
        <w:t>该系统属于</w:t>
      </w:r>
      <w:r>
        <w:rPr>
          <w:rFonts w:hint="eastAsia" w:ascii="仿宋" w:hAnsi="仿宋" w:eastAsia="仿宋" w:cs="宋体"/>
          <w:color w:val="auto"/>
          <w:kern w:val="0"/>
          <w:sz w:val="28"/>
          <w:szCs w:val="28"/>
          <w:highlight w:val="none"/>
          <w:lang w:eastAsia="zh-CN"/>
        </w:rPr>
        <w:t>成都索贝数码科技股份有限公司</w:t>
      </w:r>
      <w:r>
        <w:rPr>
          <w:rFonts w:hint="eastAsia" w:ascii="仿宋" w:hAnsi="仿宋" w:eastAsia="仿宋" w:cs="宋体"/>
          <w:color w:val="auto"/>
          <w:kern w:val="0"/>
          <w:sz w:val="28"/>
          <w:szCs w:val="28"/>
          <w:highlight w:val="none"/>
        </w:rPr>
        <w:t>内部对已销售的项目实施、运行、维护等提供售后服务支持的信息系统，其服务范围为公司范围内的普通技术人员、项目实施人员、项目运维人员等</w:t>
      </w:r>
      <w:r>
        <w:rPr>
          <w:rFonts w:hint="eastAsia" w:ascii="仿宋" w:hAnsi="仿宋" w:eastAsia="仿宋" w:cs="宋体"/>
          <w:color w:val="FF0000"/>
          <w:kern w:val="0"/>
          <w:sz w:val="28"/>
          <w:szCs w:val="28"/>
        </w:rPr>
        <w:t>。</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2、系统服务受到破坏时所侵害客体的确定（侵害的客体包括：1国家安全 2社会秩序和公共利益 3公民、法人和其他组织的合法权益等共三个客体）</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该系统服务遭到破坏时，不会对国家政权稳固和国防实力、国家统一、民族团结和社会安定、国家对外活动中的政治、经济利益、国家重要的安全保卫工作、国家经济竞争力和科技实力以及其他影响国家安全的事项造成影响，不会直接侵害国家安全，</w:t>
      </w:r>
      <w:r>
        <w:rPr>
          <w:rFonts w:hint="eastAsia" w:ascii="仿宋" w:hAnsi="仿宋" w:eastAsia="仿宋" w:cs="宋体"/>
          <w:kern w:val="0"/>
          <w:sz w:val="28"/>
          <w:szCs w:val="28"/>
          <w:highlight w:val="none"/>
        </w:rPr>
        <w:t>但会在一定程度上造成成都索贝数码科技股份有限公司的</w:t>
      </w:r>
      <w:r>
        <w:rPr>
          <w:rFonts w:hint="eastAsia" w:ascii="仿宋" w:hAnsi="仿宋" w:eastAsia="仿宋" w:cs="宋体"/>
          <w:kern w:val="0"/>
          <w:sz w:val="28"/>
          <w:szCs w:val="28"/>
          <w:highlight w:val="none"/>
          <w:lang w:val="en-US" w:eastAsia="zh-CN"/>
        </w:rPr>
        <w:t>售后服务</w:t>
      </w:r>
      <w:r>
        <w:rPr>
          <w:rFonts w:hint="eastAsia" w:ascii="仿宋" w:hAnsi="仿宋" w:eastAsia="仿宋" w:cs="宋体"/>
          <w:kern w:val="0"/>
          <w:sz w:val="28"/>
          <w:szCs w:val="28"/>
          <w:highlight w:val="none"/>
        </w:rPr>
        <w:t>延迟，甚至中断，影响</w:t>
      </w:r>
      <w:r>
        <w:rPr>
          <w:rFonts w:hint="eastAsia" w:ascii="仿宋" w:hAnsi="仿宋" w:eastAsia="仿宋" w:cs="宋体"/>
          <w:kern w:val="0"/>
          <w:sz w:val="28"/>
          <w:szCs w:val="28"/>
          <w:highlight w:val="none"/>
          <w:lang w:val="en-US" w:eastAsia="zh-CN"/>
        </w:rPr>
        <w:t>工作</w:t>
      </w:r>
      <w:r>
        <w:rPr>
          <w:rFonts w:hint="eastAsia" w:ascii="仿宋" w:hAnsi="仿宋" w:eastAsia="仿宋" w:cs="宋体"/>
          <w:kern w:val="0"/>
          <w:sz w:val="28"/>
          <w:szCs w:val="28"/>
          <w:highlight w:val="none"/>
        </w:rPr>
        <w:t>质量，将会</w:t>
      </w:r>
      <w:r>
        <w:rPr>
          <w:rFonts w:hint="eastAsia" w:ascii="仿宋" w:hAnsi="仿宋" w:eastAsia="仿宋" w:cs="宋体"/>
          <w:kern w:val="0"/>
          <w:sz w:val="28"/>
          <w:szCs w:val="28"/>
          <w:highlight w:val="none"/>
          <w:lang w:val="en-US" w:eastAsia="zh-CN"/>
        </w:rPr>
        <w:t>对公司</w:t>
      </w:r>
      <w:r>
        <w:rPr>
          <w:rFonts w:hint="eastAsia" w:ascii="仿宋" w:hAnsi="仿宋" w:eastAsia="仿宋" w:cs="宋体"/>
          <w:kern w:val="0"/>
          <w:sz w:val="28"/>
          <w:szCs w:val="28"/>
          <w:highlight w:val="none"/>
        </w:rPr>
        <w:t>的商业利益造成侵害</w:t>
      </w:r>
      <w:r>
        <w:rPr>
          <w:rFonts w:hint="eastAsia" w:ascii="仿宋" w:hAnsi="仿宋" w:eastAsia="仿宋" w:cs="宋体"/>
          <w:kern w:val="0"/>
          <w:sz w:val="28"/>
          <w:szCs w:val="28"/>
          <w:highlight w:val="none"/>
          <w:lang w:eastAsia="zh-CN"/>
        </w:rPr>
        <w:t>，</w:t>
      </w:r>
      <w:r>
        <w:rPr>
          <w:rFonts w:hint="eastAsia" w:ascii="仿宋" w:hAnsi="仿宋" w:eastAsia="仿宋" w:cs="宋体"/>
          <w:kern w:val="0"/>
          <w:sz w:val="28"/>
          <w:szCs w:val="28"/>
          <w:highlight w:val="none"/>
        </w:rPr>
        <w:t>因此，索贝数码业务信息平台系统服务安全遭到破坏后所侵害的客</w:t>
      </w:r>
      <w:r>
        <w:rPr>
          <w:rFonts w:hint="eastAsia" w:ascii="仿宋" w:hAnsi="仿宋" w:eastAsia="仿宋" w:cs="宋体"/>
          <w:kern w:val="0"/>
          <w:sz w:val="28"/>
          <w:szCs w:val="28"/>
        </w:rPr>
        <w:t>体是公民、法人和其他组织的合法权益。</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侵害的客观方面（客观方面是指定级对象的具体侵害行为，侵害形式以及对客体的造成的侵害结果）表现</w:t>
      </w:r>
      <w:r>
        <w:rPr>
          <w:rFonts w:hint="eastAsia" w:ascii="仿宋" w:hAnsi="仿宋" w:eastAsia="仿宋" w:cs="宋体"/>
          <w:kern w:val="0"/>
          <w:sz w:val="28"/>
          <w:szCs w:val="28"/>
          <w:highlight w:val="none"/>
        </w:rPr>
        <w:t>为：对成都索贝数码科技股份有限公司的售后技术支持等事务造成一定延缓，给</w:t>
      </w:r>
      <w:r>
        <w:rPr>
          <w:rFonts w:hint="eastAsia" w:ascii="仿宋" w:hAnsi="仿宋" w:eastAsia="仿宋" w:cs="宋体"/>
          <w:kern w:val="0"/>
          <w:sz w:val="28"/>
          <w:szCs w:val="28"/>
          <w:highlight w:val="none"/>
          <w:lang w:val="en-US" w:eastAsia="zh-CN"/>
        </w:rPr>
        <w:t>公司</w:t>
      </w:r>
      <w:r>
        <w:rPr>
          <w:rFonts w:hint="eastAsia" w:ascii="仿宋" w:hAnsi="仿宋" w:eastAsia="仿宋" w:cs="宋体"/>
          <w:kern w:val="0"/>
          <w:sz w:val="28"/>
          <w:szCs w:val="28"/>
          <w:highlight w:val="none"/>
        </w:rPr>
        <w:t>业务</w:t>
      </w:r>
      <w:r>
        <w:rPr>
          <w:rFonts w:ascii="仿宋" w:hAnsi="仿宋" w:eastAsia="仿宋" w:cs="宋体"/>
          <w:kern w:val="0"/>
          <w:sz w:val="28"/>
          <w:szCs w:val="28"/>
          <w:highlight w:val="none"/>
        </w:rPr>
        <w:t>部门正常</w:t>
      </w:r>
      <w:r>
        <w:rPr>
          <w:rFonts w:hint="eastAsia" w:ascii="仿宋" w:hAnsi="仿宋" w:eastAsia="仿宋" w:cs="宋体"/>
          <w:kern w:val="0"/>
          <w:sz w:val="28"/>
          <w:szCs w:val="28"/>
          <w:highlight w:val="none"/>
        </w:rPr>
        <w:t>工作带来一定程度的影响，但可通过邮件、电话、即时通讯等补充方式，以减小其不良影响。</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3、系统服务受到破坏后对侵害客体的侵害程度（即上述分析的结果的表现程度）</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highlight w:val="none"/>
        </w:rPr>
        <w:t>上述结果的程度表现为：对公民、法人和其他组织的合法权益造成</w:t>
      </w:r>
      <w:r>
        <w:rPr>
          <w:rFonts w:hint="eastAsia" w:ascii="仿宋" w:hAnsi="仿宋" w:eastAsia="仿宋" w:cs="宋体"/>
          <w:b/>
          <w:bCs/>
          <w:kern w:val="0"/>
          <w:sz w:val="28"/>
          <w:szCs w:val="28"/>
          <w:highlight w:val="none"/>
        </w:rPr>
        <w:t>一般损害</w:t>
      </w:r>
      <w:r>
        <w:rPr>
          <w:rFonts w:hint="eastAsia" w:ascii="仿宋" w:hAnsi="仿宋" w:eastAsia="仿宋" w:cs="宋体"/>
          <w:kern w:val="0"/>
          <w:sz w:val="28"/>
          <w:szCs w:val="28"/>
          <w:highlight w:val="none"/>
        </w:rPr>
        <w:t>。</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4、确定系统服务安全等级</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根据系统服务受到破坏后产生侵害的客观方面表现，并结合《定级指南》表3，系统服务受到破坏后侵害程度如表2所示：</w:t>
      </w:r>
    </w:p>
    <w:p>
      <w:pPr>
        <w:widowControl/>
        <w:spacing w:before="156" w:beforeLines="50" w:after="156" w:afterLines="50" w:line="240" w:lineRule="atLeast"/>
        <w:ind w:firstLine="480" w:firstLineChars="200"/>
        <w:jc w:val="center"/>
        <w:rPr>
          <w:rFonts w:ascii="宋体" w:hAnsi="宋体" w:eastAsia="宋体" w:cs="宋体"/>
          <w:kern w:val="0"/>
          <w:sz w:val="24"/>
          <w:szCs w:val="28"/>
        </w:rPr>
      </w:pPr>
      <w:r>
        <w:rPr>
          <w:rFonts w:hint="eastAsia" w:ascii="宋体" w:hAnsi="宋体" w:eastAsia="宋体" w:cs="宋体"/>
          <w:kern w:val="0"/>
          <w:sz w:val="24"/>
          <w:szCs w:val="28"/>
        </w:rPr>
        <w:t>表2系统服务安全保护等级矩阵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0"/>
        <w:gridCol w:w="1843"/>
        <w:gridCol w:w="1843"/>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restart"/>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系统服务安全被破坏时所侵害的客体</w:t>
            </w:r>
          </w:p>
        </w:tc>
        <w:tc>
          <w:tcPr>
            <w:tcW w:w="5466" w:type="dxa"/>
            <w:gridSpan w:val="3"/>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对相应客体的侵害程度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continue"/>
            <w:shd w:val="clear" w:color="auto" w:fill="auto"/>
            <w:vAlign w:val="center"/>
          </w:tcPr>
          <w:p>
            <w:pPr>
              <w:widowControl/>
              <w:jc w:val="center"/>
              <w:rPr>
                <w:rFonts w:ascii="宋体" w:hAnsi="宋体" w:eastAsia="宋体" w:cs="宋体"/>
                <w:kern w:val="0"/>
                <w:sz w:val="24"/>
                <w:szCs w:val="28"/>
              </w:rPr>
            </w:pP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一般损害</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严重损害</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特别严重损害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公民、法人和其他组织的合法权益</w:t>
            </w:r>
          </w:p>
        </w:tc>
        <w:tc>
          <w:tcPr>
            <w:tcW w:w="1843" w:type="dxa"/>
            <w:shd w:val="clear" w:color="auto" w:fill="00B0F0"/>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c>
          <w:tcPr>
            <w:tcW w:w="1843"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社会秩序、公共利益</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c>
          <w:tcPr>
            <w:tcW w:w="1843" w:type="dxa"/>
            <w:shd w:val="clear" w:color="auto" w:fill="FFFFFF" w:themeFill="background1"/>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第三级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第四级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国家安全</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第三级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第四级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第五级</w:t>
            </w:r>
          </w:p>
        </w:tc>
      </w:tr>
    </w:tbl>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因此，确</w:t>
      </w:r>
      <w:r>
        <w:rPr>
          <w:rFonts w:hint="eastAsia" w:ascii="仿宋" w:hAnsi="仿宋" w:eastAsia="仿宋" w:cs="宋体"/>
          <w:kern w:val="0"/>
          <w:sz w:val="28"/>
          <w:szCs w:val="28"/>
          <w:highlight w:val="none"/>
        </w:rPr>
        <w:t>定成都索贝数码科技股份有限公司的索贝数码业务信息平台系统服务安全受到破坏时，对公民、法人和其他组织的合法权益以及社会秩序、公共利益造成</w:t>
      </w:r>
      <w:r>
        <w:rPr>
          <w:rFonts w:hint="eastAsia" w:ascii="仿宋" w:hAnsi="仿宋" w:eastAsia="仿宋" w:cs="宋体"/>
          <w:b/>
          <w:bCs/>
          <w:kern w:val="0"/>
          <w:sz w:val="28"/>
          <w:szCs w:val="28"/>
          <w:highlight w:val="none"/>
        </w:rPr>
        <w:t>一般损害</w:t>
      </w:r>
      <w:r>
        <w:rPr>
          <w:rFonts w:hint="eastAsia" w:ascii="仿宋" w:hAnsi="仿宋" w:eastAsia="仿宋" w:cs="宋体"/>
          <w:kern w:val="0"/>
          <w:sz w:val="28"/>
          <w:szCs w:val="28"/>
          <w:highlight w:val="none"/>
        </w:rPr>
        <w:t>，所以系统服务安全保护等级确定为第一</w:t>
      </w:r>
      <w:r>
        <w:rPr>
          <w:rFonts w:hint="eastAsia" w:ascii="仿宋" w:hAnsi="仿宋" w:eastAsia="仿宋" w:cs="宋体"/>
          <w:kern w:val="0"/>
          <w:sz w:val="28"/>
          <w:szCs w:val="28"/>
        </w:rPr>
        <w:t>级</w:t>
      </w:r>
    </w:p>
    <w:p>
      <w:pPr>
        <w:pStyle w:val="3"/>
        <w:rPr>
          <w:rFonts w:ascii="仿宋" w:hAnsi="仿宋" w:eastAsia="仿宋" w:cs="宋体"/>
          <w:kern w:val="0"/>
          <w:sz w:val="28"/>
          <w:szCs w:val="28"/>
        </w:rPr>
      </w:pPr>
      <w:r>
        <w:rPr>
          <w:rFonts w:hint="eastAsia" w:ascii="仿宋" w:hAnsi="仿宋" w:eastAsia="仿宋" w:cs="宋体"/>
          <w:kern w:val="0"/>
          <w:sz w:val="28"/>
          <w:szCs w:val="28"/>
        </w:rPr>
        <w:t>（四）安全保护等级的确定</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信息系统的安全保护等级由业务信息安全等级和系统服务安全等级的较高者决定，因此由以上表1和表2得出如下表3所示，最终确定</w:t>
      </w:r>
      <w:r>
        <w:rPr>
          <w:rFonts w:hint="eastAsia" w:ascii="仿宋" w:hAnsi="仿宋" w:eastAsia="仿宋" w:cs="宋体"/>
          <w:kern w:val="0"/>
          <w:sz w:val="28"/>
          <w:szCs w:val="28"/>
          <w:highlight w:val="none"/>
        </w:rPr>
        <w:t>成都索贝数码科技股份有限公司的索贝数码业务信息平台系统安全保护等级为第一级。</w:t>
      </w:r>
    </w:p>
    <w:p>
      <w:pPr>
        <w:widowControl/>
        <w:spacing w:before="156" w:beforeLines="50" w:after="156" w:afterLines="50" w:line="240" w:lineRule="atLeast"/>
        <w:ind w:firstLine="480" w:firstLineChars="200"/>
        <w:jc w:val="center"/>
        <w:rPr>
          <w:rFonts w:ascii="宋体" w:hAnsi="宋体" w:eastAsia="宋体" w:cs="宋体"/>
          <w:kern w:val="0"/>
          <w:sz w:val="24"/>
          <w:szCs w:val="28"/>
        </w:rPr>
      </w:pPr>
      <w:r>
        <w:rPr>
          <w:rFonts w:hint="eastAsia" w:ascii="宋体" w:hAnsi="宋体" w:eastAsia="宋体" w:cs="宋体"/>
          <w:kern w:val="0"/>
          <w:sz w:val="24"/>
          <w:szCs w:val="28"/>
        </w:rPr>
        <w:t>表3</w:t>
      </w:r>
      <w:r>
        <w:rPr>
          <w:rFonts w:ascii="宋体" w:hAnsi="宋体" w:eastAsia="宋体" w:cs="宋体"/>
          <w:kern w:val="0"/>
          <w:sz w:val="24"/>
          <w:szCs w:val="28"/>
        </w:rPr>
        <w:t xml:space="preserve"> </w:t>
      </w:r>
      <w:r>
        <w:rPr>
          <w:rFonts w:hint="eastAsia" w:ascii="宋体" w:hAnsi="宋体" w:eastAsia="宋体" w:cs="宋体"/>
          <w:kern w:val="0"/>
          <w:sz w:val="24"/>
          <w:szCs w:val="28"/>
        </w:rPr>
        <w:t>信息系统安全保护等级</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114"/>
        <w:gridCol w:w="1696"/>
        <w:gridCol w:w="1768"/>
        <w:gridCol w:w="1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3114"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信息系统名称</w:t>
            </w:r>
          </w:p>
        </w:tc>
        <w:tc>
          <w:tcPr>
            <w:tcW w:w="1696"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安全保护等级</w:t>
            </w:r>
          </w:p>
        </w:tc>
        <w:tc>
          <w:tcPr>
            <w:tcW w:w="1768"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业务信息安全等级</w:t>
            </w:r>
          </w:p>
        </w:tc>
        <w:tc>
          <w:tcPr>
            <w:tcW w:w="1708"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系统服务安全等级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3114"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索贝数码业务信息平台系统</w:t>
            </w:r>
          </w:p>
        </w:tc>
        <w:tc>
          <w:tcPr>
            <w:tcW w:w="1696"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c>
          <w:tcPr>
            <w:tcW w:w="1768"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c>
          <w:tcPr>
            <w:tcW w:w="1708"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r>
    </w:tbl>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E5ZTk0OGNhMzAzNzc3N2U0YzI0ZDM0NTNmNzg0M2IifQ=="/>
  </w:docVars>
  <w:rsids>
    <w:rsidRoot w:val="00E76D56"/>
    <w:rsid w:val="000038AD"/>
    <w:rsid w:val="000913D6"/>
    <w:rsid w:val="000A5CE6"/>
    <w:rsid w:val="001248C7"/>
    <w:rsid w:val="00176F3B"/>
    <w:rsid w:val="001845FD"/>
    <w:rsid w:val="001A52D5"/>
    <w:rsid w:val="001C2B82"/>
    <w:rsid w:val="00227D7C"/>
    <w:rsid w:val="00245D44"/>
    <w:rsid w:val="00254C33"/>
    <w:rsid w:val="00256023"/>
    <w:rsid w:val="002B1E3F"/>
    <w:rsid w:val="002B345B"/>
    <w:rsid w:val="002B7337"/>
    <w:rsid w:val="002C46CE"/>
    <w:rsid w:val="00337F1D"/>
    <w:rsid w:val="003556F2"/>
    <w:rsid w:val="00382045"/>
    <w:rsid w:val="00397755"/>
    <w:rsid w:val="003D2CCD"/>
    <w:rsid w:val="003E39CA"/>
    <w:rsid w:val="003F249A"/>
    <w:rsid w:val="00450228"/>
    <w:rsid w:val="004C622D"/>
    <w:rsid w:val="004D3324"/>
    <w:rsid w:val="004E6F19"/>
    <w:rsid w:val="005065CA"/>
    <w:rsid w:val="00550BD6"/>
    <w:rsid w:val="005A54AD"/>
    <w:rsid w:val="00692D37"/>
    <w:rsid w:val="006930DF"/>
    <w:rsid w:val="006A0D61"/>
    <w:rsid w:val="006D7D2A"/>
    <w:rsid w:val="006F0BC7"/>
    <w:rsid w:val="00714847"/>
    <w:rsid w:val="00721A54"/>
    <w:rsid w:val="0074110C"/>
    <w:rsid w:val="00743ECA"/>
    <w:rsid w:val="0077619D"/>
    <w:rsid w:val="007F2DF0"/>
    <w:rsid w:val="00823454"/>
    <w:rsid w:val="00864134"/>
    <w:rsid w:val="00891D5A"/>
    <w:rsid w:val="008A1CE6"/>
    <w:rsid w:val="008B5044"/>
    <w:rsid w:val="008E6643"/>
    <w:rsid w:val="008F0E04"/>
    <w:rsid w:val="00901D1E"/>
    <w:rsid w:val="00950A91"/>
    <w:rsid w:val="00956F4D"/>
    <w:rsid w:val="0098686A"/>
    <w:rsid w:val="00987706"/>
    <w:rsid w:val="009C6EA2"/>
    <w:rsid w:val="00A14D03"/>
    <w:rsid w:val="00A82043"/>
    <w:rsid w:val="00AA0E55"/>
    <w:rsid w:val="00AA5FB9"/>
    <w:rsid w:val="00AF7BCE"/>
    <w:rsid w:val="00B11BDF"/>
    <w:rsid w:val="00B46A81"/>
    <w:rsid w:val="00B61B45"/>
    <w:rsid w:val="00BD2409"/>
    <w:rsid w:val="00BE7C99"/>
    <w:rsid w:val="00C20CCE"/>
    <w:rsid w:val="00C278CE"/>
    <w:rsid w:val="00C37F2B"/>
    <w:rsid w:val="00C53B57"/>
    <w:rsid w:val="00CB6612"/>
    <w:rsid w:val="00CD7689"/>
    <w:rsid w:val="00CF0DB6"/>
    <w:rsid w:val="00D23018"/>
    <w:rsid w:val="00D679EE"/>
    <w:rsid w:val="00D74FE6"/>
    <w:rsid w:val="00D8089B"/>
    <w:rsid w:val="00DC7FCF"/>
    <w:rsid w:val="00E26222"/>
    <w:rsid w:val="00E269B7"/>
    <w:rsid w:val="00E60609"/>
    <w:rsid w:val="00E76D56"/>
    <w:rsid w:val="00E81AF7"/>
    <w:rsid w:val="00EA3A73"/>
    <w:rsid w:val="00EC0CEF"/>
    <w:rsid w:val="00F61B46"/>
    <w:rsid w:val="05854D43"/>
    <w:rsid w:val="095505E7"/>
    <w:rsid w:val="0E2738B8"/>
    <w:rsid w:val="0EF14BE2"/>
    <w:rsid w:val="10B75E3C"/>
    <w:rsid w:val="1ABF31AA"/>
    <w:rsid w:val="28136333"/>
    <w:rsid w:val="3A920D71"/>
    <w:rsid w:val="3DA4412F"/>
    <w:rsid w:val="3E1D69F7"/>
    <w:rsid w:val="420F208B"/>
    <w:rsid w:val="43CA722C"/>
    <w:rsid w:val="43DA7A68"/>
    <w:rsid w:val="4A7F4E6E"/>
    <w:rsid w:val="53286CE9"/>
    <w:rsid w:val="56F626AB"/>
    <w:rsid w:val="624416C9"/>
    <w:rsid w:val="62455EA3"/>
    <w:rsid w:val="62B45479"/>
    <w:rsid w:val="643D46CF"/>
    <w:rsid w:val="6CD306F8"/>
    <w:rsid w:val="6DB06FF1"/>
    <w:rsid w:val="711F4749"/>
    <w:rsid w:val="71F93C79"/>
    <w:rsid w:val="76D55C89"/>
    <w:rsid w:val="7D4D7343"/>
    <w:rsid w:val="7DFB7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sz w:val="18"/>
      <w:szCs w:val="18"/>
    </w:rPr>
  </w:style>
  <w:style w:type="paragraph" w:styleId="6">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uiPriority w:val="99"/>
    <w:rPr>
      <w:sz w:val="18"/>
      <w:szCs w:val="18"/>
    </w:rPr>
  </w:style>
  <w:style w:type="character" w:customStyle="1" w:styleId="10">
    <w:name w:val="页脚 字符"/>
    <w:basedOn w:val="8"/>
    <w:link w:val="5"/>
    <w:qFormat/>
    <w:uiPriority w:val="99"/>
    <w:rPr>
      <w:sz w:val="18"/>
      <w:szCs w:val="18"/>
    </w:rPr>
  </w:style>
  <w:style w:type="character" w:customStyle="1" w:styleId="11">
    <w:name w:val="标题 1 字符"/>
    <w:basedOn w:val="8"/>
    <w:link w:val="2"/>
    <w:qFormat/>
    <w:uiPriority w:val="9"/>
    <w:rPr>
      <w:b/>
      <w:bCs/>
      <w:kern w:val="44"/>
      <w:sz w:val="44"/>
      <w:szCs w:val="44"/>
    </w:rPr>
  </w:style>
  <w:style w:type="character" w:customStyle="1" w:styleId="12">
    <w:name w:val="标题 2 字符"/>
    <w:basedOn w:val="8"/>
    <w:link w:val="3"/>
    <w:qFormat/>
    <w:uiPriority w:val="9"/>
    <w:rPr>
      <w:rFonts w:asciiTheme="majorHAnsi" w:hAnsiTheme="majorHAnsi" w:eastAsiaTheme="majorEastAsia" w:cstheme="majorBidi"/>
      <w:b/>
      <w:bCs/>
      <w:sz w:val="32"/>
      <w:szCs w:val="32"/>
    </w:rPr>
  </w:style>
  <w:style w:type="character" w:customStyle="1" w:styleId="13">
    <w:name w:val="批注框文本 字符"/>
    <w:basedOn w:val="8"/>
    <w:link w:val="4"/>
    <w:semiHidden/>
    <w:uiPriority w:val="99"/>
    <w:rPr>
      <w:sz w:val="18"/>
      <w:szCs w:val="18"/>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458</Words>
  <Characters>2615</Characters>
  <Lines>21</Lines>
  <Paragraphs>6</Paragraphs>
  <TotalTime>2</TotalTime>
  <ScaleCrop>false</ScaleCrop>
  <LinksUpToDate>false</LinksUpToDate>
  <CharactersWithSpaces>3067</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2024-12-26T03:42:00Z</dcterms:created>
  <dc:creator>dengkaixu</dc:creator>
  <cp:lastModifiedBy>熊天磬</cp:lastModifiedBy>
  <dcterms:modified xsi:type="dcterms:W3CDTF">2025-01-06T01:56:26Z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5F8BD0E2E35E4A50ADDFBB608D519704_12</vt:lpwstr>
  </property>
</Properties>
</file>