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sz w:val="32"/>
          <w:szCs w:val="40"/>
          <w:highlight w:val="none"/>
          <w:lang w:val="en-US" w:eastAsia="zh-CN"/>
        </w:rPr>
      </w:pPr>
      <w:r>
        <w:rPr>
          <w:rFonts w:hint="eastAsia" w:ascii="宋体" w:hAnsi="宋体" w:eastAsia="宋体" w:cs="宋体"/>
          <w:b/>
          <w:bCs/>
          <w:sz w:val="32"/>
          <w:szCs w:val="40"/>
          <w:highlight w:val="none"/>
          <w:lang w:val="en-US" w:eastAsia="zh-CN"/>
        </w:rPr>
        <w:t>成都索贝数码科技股份有限公司</w:t>
      </w:r>
    </w:p>
    <w:p>
      <w:pPr>
        <w:jc w:val="center"/>
        <w:rPr>
          <w:rFonts w:hint="eastAsia" w:ascii="宋体" w:hAnsi="宋体" w:eastAsia="宋体" w:cs="宋体"/>
          <w:b/>
          <w:bCs/>
          <w:sz w:val="32"/>
          <w:szCs w:val="40"/>
          <w:highlight w:val="none"/>
        </w:rPr>
      </w:pPr>
      <w:r>
        <w:rPr>
          <w:rFonts w:hint="eastAsia" w:ascii="宋体" w:hAnsi="宋体" w:eastAsia="宋体" w:cs="宋体"/>
          <w:b/>
          <w:bCs/>
          <w:sz w:val="32"/>
          <w:szCs w:val="40"/>
          <w:highlight w:val="none"/>
        </w:rPr>
        <w:t>关于《网络安全监督检查限期整改通知书》的回复</w:t>
      </w:r>
    </w:p>
    <w:p>
      <w:pPr>
        <w:jc w:val="center"/>
        <w:rPr>
          <w:rFonts w:hint="eastAsia" w:ascii="宋体" w:hAnsi="宋体" w:eastAsia="宋体" w:cs="宋体"/>
          <w:b/>
          <w:bCs/>
          <w:sz w:val="21"/>
          <w:szCs w:val="24"/>
          <w:highlight w:val="none"/>
        </w:rPr>
      </w:pPr>
    </w:p>
    <w:p>
      <w:pPr>
        <w:jc w:val="center"/>
        <w:rPr>
          <w:rFonts w:hint="eastAsia" w:ascii="宋体" w:hAnsi="宋体" w:eastAsia="宋体" w:cs="宋体"/>
          <w:b/>
          <w:bCs/>
          <w:sz w:val="21"/>
          <w:szCs w:val="24"/>
          <w:highlight w:val="none"/>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成都市公安局直属分局：</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我司于2024年11月1日收到了贵局出具的《网络安全监督检查限期整改通知书》，在收到该通知书后，我司高度重视，</w:t>
      </w:r>
      <w:r>
        <w:rPr>
          <w:rFonts w:hint="eastAsia" w:ascii="宋体" w:hAnsi="宋体" w:eastAsia="宋体" w:cs="宋体"/>
          <w:b w:val="0"/>
          <w:bCs w:val="0"/>
          <w:color w:val="FF0000"/>
          <w:sz w:val="24"/>
          <w:szCs w:val="32"/>
          <w:highlight w:val="none"/>
          <w:lang w:val="en-US" w:eastAsia="zh-CN"/>
        </w:rPr>
        <w:t>总经理</w:t>
      </w:r>
      <w:r>
        <w:rPr>
          <w:rFonts w:hint="eastAsia" w:ascii="宋体" w:hAnsi="宋体" w:eastAsia="宋体" w:cs="宋体"/>
          <w:b w:val="0"/>
          <w:bCs w:val="0"/>
          <w:sz w:val="24"/>
          <w:szCs w:val="32"/>
          <w:highlight w:val="none"/>
          <w:lang w:val="en-US" w:eastAsia="zh-CN"/>
        </w:rPr>
        <w:t>立即针对本次监督检查组织召开了网络安全专题会议，并成立</w:t>
      </w:r>
      <w:r>
        <w:rPr>
          <w:rFonts w:hint="eastAsia" w:ascii="宋体" w:hAnsi="宋体" w:eastAsia="宋体" w:cs="宋体"/>
          <w:b/>
          <w:bCs/>
          <w:sz w:val="24"/>
          <w:szCs w:val="32"/>
          <w:highlight w:val="none"/>
          <w:lang w:val="en-US" w:eastAsia="zh-CN"/>
        </w:rPr>
        <w:t>网络安全专项工作组</w:t>
      </w:r>
      <w:r>
        <w:rPr>
          <w:rFonts w:hint="eastAsia" w:ascii="宋体" w:hAnsi="宋体" w:eastAsia="宋体" w:cs="宋体"/>
          <w:b w:val="0"/>
          <w:bCs w:val="0"/>
          <w:sz w:val="24"/>
          <w:szCs w:val="32"/>
          <w:highlight w:val="none"/>
          <w:lang w:val="en-US" w:eastAsia="zh-CN"/>
        </w:rPr>
        <w:t>，全面梳理公司网络系统资产，从管理和技术两方面，制定短期整改计划和中长期网络安全建设规划，将推进网络安全建设工作落到实处，现将有关情况汇报如下：</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outlineLvl w:val="0"/>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一、监督检查问题整改情况</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outlineLvl w:val="1"/>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（一）“相关信息系统未开展等保备案测评工作”整改情况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1、梳理公司网络系统资产</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auto"/>
          <w:sz w:val="24"/>
          <w:szCs w:val="32"/>
          <w:highlight w:val="none"/>
          <w:lang w:val="en-US" w:eastAsia="zh-CN"/>
        </w:rPr>
      </w:pPr>
      <w:r>
        <w:rPr>
          <w:rFonts w:hint="eastAsia" w:ascii="宋体" w:hAnsi="宋体" w:eastAsia="宋体" w:cs="宋体"/>
          <w:b w:val="0"/>
          <w:bCs w:val="0"/>
          <w:color w:val="auto"/>
          <w:sz w:val="24"/>
          <w:szCs w:val="32"/>
          <w:highlight w:val="none"/>
          <w:lang w:val="en-US" w:eastAsia="zh-CN"/>
        </w:rPr>
        <w:t>梳理出公司网络系统共计9个，其中本地系统3个，公有云系统6个（系统清单见附件1），均已明确系统部门和责任人，理清各系统部署情况，杜绝出现废弃系统、无人认领系统的情况。</w:t>
      </w:r>
      <w:bookmarkStart w:id="0" w:name="_GoBack"/>
      <w:bookmarkEnd w:id="0"/>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auto"/>
          <w:sz w:val="24"/>
          <w:szCs w:val="32"/>
          <w:highlight w:val="none"/>
          <w:lang w:val="en-US" w:eastAsia="zh-CN"/>
        </w:rPr>
      </w:pPr>
      <w:r>
        <w:rPr>
          <w:rFonts w:hint="eastAsia" w:ascii="宋体" w:hAnsi="宋体" w:eastAsia="宋体" w:cs="宋体"/>
          <w:b w:val="0"/>
          <w:bCs w:val="0"/>
          <w:color w:val="auto"/>
          <w:sz w:val="24"/>
          <w:szCs w:val="32"/>
          <w:highlight w:val="none"/>
          <w:lang w:val="en-US" w:eastAsia="zh-CN"/>
        </w:rPr>
        <w:t>其中MCH融媒体生产平台已升级为MOC融媒体生产平台,由于目前仍然有少量用户单位在使用中，但我司也针对该系统做了相应的安全措施，如白名单访问、禁用多余账户等，并已着手开始将用户迁移到MOC融媒体生产平台，迁移完成后，该系统将停止使用并下线，预计在2025年1月31日前完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由于公司业务需要，我司存在部分代客户申请公有云资源，并对资源进行运维的情况，这部分资源的网络安全责任主体为客户，我司仅负责资源的日常运维。</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2、落实系统定级备案工作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为尽快落实网络安全等级保护制度要求，按照系统被破坏后受侵害的客体和系统受破坏后的影响程度，我司初步拟定两个三级系统，两个二级系统，并编制了四个系统的《定级报告》和《备案表》。我司于</w:t>
      </w:r>
      <w:r>
        <w:rPr>
          <w:rFonts w:hint="eastAsia" w:ascii="宋体" w:hAnsi="宋体" w:eastAsia="宋体" w:cs="宋体"/>
          <w:b/>
          <w:bCs/>
          <w:sz w:val="24"/>
          <w:szCs w:val="32"/>
          <w:highlight w:val="none"/>
          <w:lang w:val="en-US" w:eastAsia="zh-CN"/>
        </w:rPr>
        <w:t>11月7日</w:t>
      </w:r>
      <w:r>
        <w:rPr>
          <w:rFonts w:hint="eastAsia" w:ascii="宋体" w:hAnsi="宋体" w:eastAsia="宋体" w:cs="宋体"/>
          <w:b w:val="0"/>
          <w:bCs w:val="0"/>
          <w:sz w:val="24"/>
          <w:szCs w:val="32"/>
          <w:highlight w:val="none"/>
          <w:lang w:val="en-US" w:eastAsia="zh-CN"/>
        </w:rPr>
        <w:t>邀请了三位网络安全领域的专家开展了网络安全等级保护定级评审工作，最终确定了各系统的网络安全保护等级。同时，我司于</w:t>
      </w:r>
      <w:r>
        <w:rPr>
          <w:rFonts w:hint="eastAsia" w:ascii="宋体" w:hAnsi="宋体" w:eastAsia="宋体" w:cs="宋体"/>
          <w:b/>
          <w:bCs/>
          <w:sz w:val="24"/>
          <w:szCs w:val="32"/>
          <w:highlight w:val="none"/>
          <w:lang w:val="en-US" w:eastAsia="zh-CN"/>
        </w:rPr>
        <w:t>11月7日</w:t>
      </w:r>
      <w:r>
        <w:rPr>
          <w:rFonts w:hint="eastAsia" w:ascii="宋体" w:hAnsi="宋体" w:eastAsia="宋体" w:cs="宋体"/>
          <w:b w:val="0"/>
          <w:bCs w:val="0"/>
          <w:sz w:val="24"/>
          <w:szCs w:val="32"/>
          <w:highlight w:val="none"/>
          <w:lang w:val="en-US" w:eastAsia="zh-CN"/>
        </w:rPr>
        <w:t>完成了成都市公安局备案资料的提交（备案提交情况见附件2）。</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3、组织开展等保测评工作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为顺利开展网络安全等级保护测评工作，在对系统进行梳理和定级备案的同时，我们同步开展了网络安全等级保护测评服务的采购工作。待取得备案证明后，第一时间开展等保测评工作，全面查找合规差距，督促各网络系统的整改，使各网络系统达到对应等级的安全防护要求，取得本年度的网络安全等级测评报告。</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outlineLvl w:val="1"/>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（二）“内部安全管理制度和操作规范不完善”整改情况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1、建立健全网络安全管理体系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目前，我司网络安全管理制度建设相对薄弱，但我们将在开展等保测评的同时，按照网络安全管理要求，于</w:t>
      </w:r>
      <w:r>
        <w:rPr>
          <w:rFonts w:hint="eastAsia" w:ascii="宋体" w:hAnsi="宋体" w:eastAsia="宋体" w:cs="宋体"/>
          <w:b/>
          <w:bCs/>
          <w:sz w:val="24"/>
          <w:szCs w:val="32"/>
          <w:highlight w:val="none"/>
          <w:lang w:val="en-US" w:eastAsia="zh-CN"/>
        </w:rPr>
        <w:t>11月30日前</w:t>
      </w:r>
      <w:r>
        <w:rPr>
          <w:rFonts w:hint="eastAsia" w:ascii="宋体" w:hAnsi="宋体" w:eastAsia="宋体" w:cs="宋体"/>
          <w:b w:val="0"/>
          <w:bCs w:val="0"/>
          <w:sz w:val="24"/>
          <w:szCs w:val="32"/>
          <w:highlight w:val="none"/>
          <w:lang w:val="en-US" w:eastAsia="zh-CN"/>
        </w:rPr>
        <w:t>建立初步的网络安全管理体系。一是成立网络安全工作领导小组；二是制定网络安全工作的总体方针和安全策略，阐明公司安全工作的总体目标、范围、原则和安全框架等；三是针对各类安全管理活动，建立相应的安全管理制度；四是对管理人员或操作人员执行的日常管理操作建立操作规程，并完善各制度记录表单。网络安全管理体系初步建立后，我司将每年召开网络安全专题会，对网络安全管理制度进行定期评审和修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2、重点规范软件开发和运维规范</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我司主营业务依托超高清视频技术和数字化技术的研究和应用，为客户提供专业视听产品和数字化解决方案，涉及视听软件开发和系统产品运维。我司将重点制定自行软件开发和外包软件开发的管理要求，明确软件验收交付标准，完善运维管理规范，建立《软件开发安全基线》和《系统运维安全基线》，使软件开发、交付、运维过程中都满足合规要求，并于</w:t>
      </w:r>
      <w:r>
        <w:rPr>
          <w:rFonts w:hint="eastAsia" w:ascii="宋体" w:hAnsi="宋体" w:eastAsia="宋体" w:cs="宋体"/>
          <w:b/>
          <w:bCs/>
          <w:sz w:val="24"/>
          <w:szCs w:val="32"/>
          <w:highlight w:val="none"/>
          <w:lang w:val="en-US" w:eastAsia="zh-CN"/>
        </w:rPr>
        <w:t>12月31日</w:t>
      </w:r>
      <w:r>
        <w:rPr>
          <w:rFonts w:hint="eastAsia" w:ascii="宋体" w:hAnsi="宋体" w:eastAsia="宋体" w:cs="宋体"/>
          <w:b w:val="0"/>
          <w:bCs w:val="0"/>
          <w:sz w:val="24"/>
          <w:szCs w:val="32"/>
          <w:highlight w:val="none"/>
          <w:lang w:val="en-US" w:eastAsia="zh-CN"/>
        </w:rPr>
        <w:t>前形成相应的管理制度文件。</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outlineLvl w:val="1"/>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（三）“防范计算机病毒和网络攻击、网络侵入等危害网络安全行为的技术措施不完善”整改情况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1、本地网络安全防护措施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我司存在18个系统部署在公司本地机房，在网络边界部署有山石防火墙和WAF应用防火墙，但设备入侵防护特征库、防病毒特征库、WAF规则库均已过期。我司计划通过本次等保测评，按照测评出具的整改建议，拟新增部署日志审计等安全防护设备，更新现有设备特征库，使本地安全防护能力满足合规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2、云平台网络安全防护措施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auto"/>
          <w:sz w:val="24"/>
          <w:szCs w:val="32"/>
          <w:highlight w:val="none"/>
          <w:lang w:val="en-US" w:eastAsia="zh-CN"/>
        </w:rPr>
      </w:pPr>
      <w:r>
        <w:rPr>
          <w:rFonts w:hint="eastAsia" w:ascii="宋体" w:hAnsi="宋体" w:eastAsia="宋体" w:cs="宋体"/>
          <w:b w:val="0"/>
          <w:bCs w:val="0"/>
          <w:color w:val="auto"/>
          <w:sz w:val="24"/>
          <w:szCs w:val="32"/>
          <w:highlight w:val="none"/>
          <w:lang w:val="en-US" w:eastAsia="zh-CN"/>
        </w:rPr>
        <w:t>我司存在10个系统部署在华为云平台和阿里云平台上，华为云平台上采购了DDoS防护、Web应用防火墙、SSL证书、云监控、云审计、云日志、异地数据备份等安全服务，阿里云平台上采购了Web应用防火墙、堡垒机、SSL证书、日志服务SLS、OSS对象存储、RDS数据库等安全服务，能够对云上系统实现基本防护。同样的，我司计划通过本次等保测评，按照测评出具的整改建议，拟新增堡垒机、主机安全防护等安全服务，</w:t>
      </w:r>
      <w:r>
        <w:rPr>
          <w:rFonts w:hint="eastAsia" w:ascii="宋体" w:hAnsi="宋体" w:eastAsia="宋体" w:cs="宋体"/>
          <w:b w:val="0"/>
          <w:bCs w:val="0"/>
          <w:sz w:val="24"/>
          <w:szCs w:val="32"/>
          <w:highlight w:val="none"/>
          <w:lang w:val="en-US" w:eastAsia="zh-CN"/>
        </w:rPr>
        <w:t>使云上的系统安全防护能力满足合规要求</w:t>
      </w:r>
      <w:r>
        <w:rPr>
          <w:rFonts w:hint="eastAsia" w:ascii="宋体" w:hAnsi="宋体" w:eastAsia="宋体" w:cs="宋体"/>
          <w:b w:val="0"/>
          <w:bCs w:val="0"/>
          <w:color w:val="auto"/>
          <w:sz w:val="24"/>
          <w:szCs w:val="32"/>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auto"/>
          <w:sz w:val="24"/>
          <w:szCs w:val="32"/>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outlineLvl w:val="0"/>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二、下一步网络安全工作计划</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bCs/>
          <w:sz w:val="24"/>
          <w:szCs w:val="32"/>
          <w:highlight w:val="none"/>
          <w:lang w:val="en-US" w:eastAsia="zh-CN"/>
        </w:rPr>
      </w:pPr>
      <w:r>
        <w:rPr>
          <w:rFonts w:hint="eastAsia" w:ascii="宋体" w:hAnsi="宋体" w:eastAsia="宋体" w:cs="宋体"/>
          <w:b w:val="0"/>
          <w:bCs w:val="0"/>
          <w:sz w:val="24"/>
          <w:szCs w:val="32"/>
          <w:highlight w:val="none"/>
          <w:lang w:val="en-US" w:eastAsia="zh-CN"/>
        </w:rPr>
        <w:t>目前，我司针对整改通知书提出的整改要求已进行了部分整改，同时我司将以此次事件为契机，全面完善网络安全管理工作，现将下一步网络安全工作的短期、中期、长期规划汇报如下：</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outlineLvl w:val="1"/>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（一）短期整改计划</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bCs/>
          <w:sz w:val="24"/>
          <w:szCs w:val="32"/>
          <w:highlight w:val="none"/>
          <w:lang w:val="en-US" w:eastAsia="zh-CN"/>
        </w:rPr>
      </w:pPr>
      <w:r>
        <w:rPr>
          <w:rFonts w:hint="eastAsia" w:ascii="宋体" w:hAnsi="宋体" w:eastAsia="宋体" w:cs="宋体"/>
          <w:b w:val="0"/>
          <w:bCs w:val="0"/>
          <w:sz w:val="24"/>
          <w:szCs w:val="32"/>
          <w:highlight w:val="none"/>
          <w:lang w:val="en-US" w:eastAsia="zh-CN"/>
        </w:rPr>
        <w:t>1、我司已完成通报中所有风险漏洞修复工作（漏洞修复情况见附件3）。</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2、我司已完成系统定级和备案工作，向成都市公安局提交系统备案资料（备案提交情况见附件2）。</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3、2024年11月30日前，初步建立网络安全管理制度体系，并逐步完善。</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4、2025年2月28日前，完成本次定级备案的两个三级系统和两个二级系统的网络安全等级测评工作。</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outlineLvl w:val="1"/>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（二）中期建设规划</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1、按照《网络安全法》、《信息安全等级保护管理办法》的要求，对我司已定级备案的网络系统开展常态化的网络安全等级测评工作。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2、每年度开展一次系统的基线检查、漏洞扫描和渗透测试，发现系统中存在的风险问题，并及时修复。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3、每年度组织一次网络安全意识培训，提高公司全体员工的网络安全意识。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outlineLvl w:val="1"/>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（三）长效安全机制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1、网络安全管理工作常态化，每年预留网络安全预算，保证本地网络安全防护设备和云上安全服务全面、有效，定期开展安全巡检、漏洞扫描、渗透测试、安全培训等工作，逐步提升公司网络安全管理水平。</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2、建立软件开发、系统建设全过程安全管理工作，在系统立项时确定系统等级，系统开发过程中完成公安备案，系统上线前开展等保测评，确保系统上线即合规。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3、组建网络安全服务团队，加强与公安机关的联系，出现网络安全事件后能快速响应并处置，并将情况同步报送公安机关。</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通过本次成都市公安局直属分局的网络安全监督检查，使我司认识到网络安全的重要性，我司已将网络安全工作纳入到日常重点管理工作中。感谢成都市公安局直属分局及时指出我司存在的网络安全问题，我司将按照制定的网络安全工作规划，持续加强网络安全管理工作，确保网络系统的安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此致</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敬礼！</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32"/>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right"/>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成都索贝数码科技股份有限公司</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firstLine="480" w:firstLineChars="200"/>
        <w:jc w:val="right"/>
        <w:textAlignment w:val="auto"/>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t xml:space="preserve">2024年11月8日     </w:t>
      </w:r>
    </w:p>
    <w:p>
      <w:pPr>
        <w:rPr>
          <w:rFonts w:hint="eastAsia" w:ascii="宋体" w:hAnsi="宋体" w:eastAsia="宋体" w:cs="宋体"/>
          <w:b w:val="0"/>
          <w:bCs w:val="0"/>
          <w:sz w:val="24"/>
          <w:szCs w:val="32"/>
          <w:highlight w:val="none"/>
          <w:lang w:val="en-US" w:eastAsia="zh-CN"/>
        </w:rPr>
      </w:pPr>
      <w:r>
        <w:rPr>
          <w:rFonts w:hint="eastAsia" w:ascii="宋体" w:hAnsi="宋体" w:eastAsia="宋体" w:cs="宋体"/>
          <w:b w:val="0"/>
          <w:bCs w:val="0"/>
          <w:sz w:val="24"/>
          <w:szCs w:val="32"/>
          <w:highlight w:val="none"/>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outlineLvl w:val="0"/>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附件1 系统清单</w:t>
      </w:r>
    </w:p>
    <w:tbl>
      <w:tblPr>
        <w:tblStyle w:val="3"/>
        <w:tblW w:w="801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3704"/>
        <w:gridCol w:w="1291"/>
        <w:gridCol w:w="19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7" w:hRule="atLeast"/>
        </w:trPr>
        <w:tc>
          <w:tcPr>
            <w:tcW w:w="1080" w:type="dxa"/>
            <w:tcBorders>
              <w:top w:val="single" w:color="000000" w:sz="4" w:space="0"/>
              <w:left w:val="single" w:color="000000" w:sz="4" w:space="0"/>
              <w:bottom w:val="single" w:color="000000" w:sz="4" w:space="0"/>
              <w:right w:val="single" w:color="000000" w:sz="4" w:space="0"/>
            </w:tcBorders>
            <w:shd w:val="clear" w:color="auto" w:fill="E7E6E6" w:themeFill="background2"/>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3704" w:type="dxa"/>
            <w:tcBorders>
              <w:top w:val="single" w:color="000000" w:sz="4" w:space="0"/>
              <w:left w:val="single" w:color="000000" w:sz="4" w:space="0"/>
              <w:bottom w:val="single" w:color="000000" w:sz="4" w:space="0"/>
              <w:right w:val="single" w:color="000000" w:sz="4" w:space="0"/>
            </w:tcBorders>
            <w:shd w:val="clear" w:color="auto" w:fill="E7E6E6" w:themeFill="background2"/>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系统名称</w:t>
            </w:r>
          </w:p>
        </w:tc>
        <w:tc>
          <w:tcPr>
            <w:tcW w:w="1291" w:type="dxa"/>
            <w:tcBorders>
              <w:top w:val="single" w:color="000000" w:sz="4" w:space="0"/>
              <w:left w:val="single" w:color="000000" w:sz="4" w:space="0"/>
              <w:bottom w:val="single" w:color="000000" w:sz="4" w:space="0"/>
              <w:right w:val="single" w:color="000000" w:sz="4" w:space="0"/>
            </w:tcBorders>
            <w:shd w:val="clear" w:color="auto" w:fill="E7E6E6" w:themeFill="background2"/>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拟定级</w:t>
            </w:r>
          </w:p>
        </w:tc>
        <w:tc>
          <w:tcPr>
            <w:tcW w:w="1935" w:type="dxa"/>
            <w:tcBorders>
              <w:top w:val="single" w:color="000000" w:sz="4" w:space="0"/>
              <w:left w:val="single" w:color="000000" w:sz="4" w:space="0"/>
              <w:bottom w:val="single" w:color="000000" w:sz="4" w:space="0"/>
              <w:right w:val="single" w:color="000000" w:sz="4" w:space="0"/>
            </w:tcBorders>
            <w:shd w:val="clear" w:color="auto" w:fill="E7E6E6" w:themeFill="background2"/>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部署位置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7"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numPr>
                <w:ilvl w:val="0"/>
                <w:numId w:val="1"/>
              </w:numPr>
              <w:suppressLineNumbers w:val="0"/>
              <w:ind w:left="425" w:leftChars="0" w:hanging="425" w:firstLineChars="0"/>
              <w:jc w:val="center"/>
              <w:textAlignment w:val="center"/>
              <w:rPr>
                <w:rFonts w:hint="eastAsia" w:ascii="宋体" w:hAnsi="宋体" w:eastAsia="宋体" w:cs="宋体"/>
                <w:i w:val="0"/>
                <w:iCs w:val="0"/>
                <w:color w:val="000000"/>
                <w:sz w:val="22"/>
                <w:szCs w:val="22"/>
                <w:u w:val="none"/>
              </w:rPr>
            </w:pPr>
          </w:p>
        </w:tc>
        <w:tc>
          <w:tcPr>
            <w:tcW w:w="3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MOC融媒体生产平台</w:t>
            </w:r>
          </w:p>
        </w:tc>
        <w:tc>
          <w:tcPr>
            <w:tcW w:w="12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三级</w:t>
            </w:r>
          </w:p>
        </w:tc>
        <w:tc>
          <w:tcPr>
            <w:tcW w:w="19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公有云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numPr>
                <w:ilvl w:val="0"/>
                <w:numId w:val="1"/>
              </w:numPr>
              <w:suppressLineNumbers w:val="0"/>
              <w:ind w:left="425" w:leftChars="0" w:hanging="425" w:firstLineChars="0"/>
              <w:jc w:val="center"/>
              <w:textAlignment w:val="center"/>
              <w:rPr>
                <w:rFonts w:hint="eastAsia" w:ascii="宋体" w:hAnsi="宋体" w:eastAsia="宋体" w:cs="宋体"/>
                <w:i w:val="0"/>
                <w:iCs w:val="0"/>
                <w:color w:val="000000"/>
                <w:sz w:val="22"/>
                <w:szCs w:val="22"/>
                <w:u w:val="none"/>
              </w:rPr>
            </w:pPr>
          </w:p>
        </w:tc>
        <w:tc>
          <w:tcPr>
            <w:tcW w:w="3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MCH融媒体生产平台（计划下线）</w:t>
            </w:r>
          </w:p>
        </w:tc>
        <w:tc>
          <w:tcPr>
            <w:tcW w:w="12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c>
          <w:tcPr>
            <w:tcW w:w="19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公有云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7"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numPr>
                <w:ilvl w:val="0"/>
                <w:numId w:val="1"/>
              </w:numPr>
              <w:suppressLineNumbers w:val="0"/>
              <w:ind w:left="425" w:leftChars="0" w:hanging="425" w:firstLineChars="0"/>
              <w:jc w:val="center"/>
              <w:textAlignment w:val="center"/>
              <w:rPr>
                <w:rFonts w:hint="eastAsia" w:ascii="宋体" w:hAnsi="宋体" w:eastAsia="宋体" w:cs="宋体"/>
                <w:i w:val="0"/>
                <w:iCs w:val="0"/>
                <w:color w:val="000000"/>
                <w:sz w:val="22"/>
                <w:szCs w:val="22"/>
                <w:u w:val="none"/>
              </w:rPr>
            </w:pPr>
          </w:p>
        </w:tc>
        <w:tc>
          <w:tcPr>
            <w:tcW w:w="3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go Liveshow直播服务</w:t>
            </w:r>
          </w:p>
        </w:tc>
        <w:tc>
          <w:tcPr>
            <w:tcW w:w="12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三级</w:t>
            </w:r>
          </w:p>
        </w:tc>
        <w:tc>
          <w:tcPr>
            <w:tcW w:w="19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公有云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numPr>
                <w:ilvl w:val="0"/>
                <w:numId w:val="1"/>
              </w:numPr>
              <w:suppressLineNumbers w:val="0"/>
              <w:ind w:left="425" w:leftChars="0" w:hanging="425" w:firstLineChars="0"/>
              <w:jc w:val="center"/>
              <w:textAlignment w:val="center"/>
              <w:rPr>
                <w:rFonts w:hint="eastAsia" w:ascii="宋体" w:hAnsi="宋体" w:eastAsia="宋体" w:cs="宋体"/>
                <w:i w:val="0"/>
                <w:iCs w:val="0"/>
                <w:color w:val="000000"/>
                <w:sz w:val="22"/>
                <w:szCs w:val="22"/>
                <w:u w:val="none"/>
              </w:rPr>
            </w:pPr>
          </w:p>
        </w:tc>
        <w:tc>
          <w:tcPr>
            <w:tcW w:w="3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iData舆情线索服务</w:t>
            </w:r>
          </w:p>
        </w:tc>
        <w:tc>
          <w:tcPr>
            <w:tcW w:w="12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二级</w:t>
            </w:r>
          </w:p>
        </w:tc>
        <w:tc>
          <w:tcPr>
            <w:tcW w:w="19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公有云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7"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numPr>
                <w:ilvl w:val="0"/>
                <w:numId w:val="1"/>
              </w:numPr>
              <w:suppressLineNumbers w:val="0"/>
              <w:ind w:left="425" w:leftChars="0" w:hanging="425" w:firstLineChars="0"/>
              <w:jc w:val="center"/>
              <w:textAlignment w:val="center"/>
              <w:rPr>
                <w:rFonts w:hint="eastAsia" w:ascii="宋体" w:hAnsi="宋体" w:eastAsia="宋体" w:cs="宋体"/>
                <w:i w:val="0"/>
                <w:iCs w:val="0"/>
                <w:color w:val="000000"/>
                <w:sz w:val="22"/>
                <w:szCs w:val="22"/>
                <w:u w:val="none"/>
              </w:rPr>
            </w:pPr>
          </w:p>
        </w:tc>
        <w:tc>
          <w:tcPr>
            <w:tcW w:w="3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索贝Panda系统平台</w:t>
            </w:r>
          </w:p>
        </w:tc>
        <w:tc>
          <w:tcPr>
            <w:tcW w:w="12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二级</w:t>
            </w:r>
          </w:p>
        </w:tc>
        <w:tc>
          <w:tcPr>
            <w:tcW w:w="19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本地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numPr>
                <w:ilvl w:val="0"/>
                <w:numId w:val="1"/>
              </w:numPr>
              <w:suppressLineNumbers w:val="0"/>
              <w:ind w:left="425" w:leftChars="0" w:hanging="425" w:firstLineChars="0"/>
              <w:jc w:val="center"/>
              <w:textAlignment w:val="center"/>
              <w:rPr>
                <w:rFonts w:hint="eastAsia" w:ascii="宋体" w:hAnsi="宋体" w:eastAsia="宋体" w:cs="宋体"/>
                <w:i w:val="0"/>
                <w:iCs w:val="0"/>
                <w:color w:val="000000"/>
                <w:sz w:val="22"/>
                <w:szCs w:val="22"/>
                <w:u w:val="none"/>
              </w:rPr>
            </w:pPr>
          </w:p>
        </w:tc>
        <w:tc>
          <w:tcPr>
            <w:tcW w:w="3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索贝数码业务信息平台系统</w:t>
            </w:r>
          </w:p>
        </w:tc>
        <w:tc>
          <w:tcPr>
            <w:tcW w:w="12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一级</w:t>
            </w:r>
          </w:p>
        </w:tc>
        <w:tc>
          <w:tcPr>
            <w:tcW w:w="19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公有云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numPr>
                <w:ilvl w:val="0"/>
                <w:numId w:val="1"/>
              </w:numPr>
              <w:suppressLineNumbers w:val="0"/>
              <w:ind w:left="425" w:leftChars="0" w:hanging="425" w:firstLineChars="0"/>
              <w:jc w:val="center"/>
              <w:textAlignment w:val="center"/>
              <w:rPr>
                <w:rFonts w:hint="eastAsia" w:ascii="宋体" w:hAnsi="宋体" w:eastAsia="宋体" w:cs="宋体"/>
                <w:i w:val="0"/>
                <w:iCs w:val="0"/>
                <w:color w:val="000000"/>
                <w:sz w:val="22"/>
                <w:szCs w:val="22"/>
                <w:u w:val="none"/>
              </w:rPr>
            </w:pPr>
          </w:p>
        </w:tc>
        <w:tc>
          <w:tcPr>
            <w:tcW w:w="3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索贝企业官网</w:t>
            </w:r>
          </w:p>
        </w:tc>
        <w:tc>
          <w:tcPr>
            <w:tcW w:w="12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一级</w:t>
            </w:r>
          </w:p>
        </w:tc>
        <w:tc>
          <w:tcPr>
            <w:tcW w:w="19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公有云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numPr>
                <w:ilvl w:val="0"/>
                <w:numId w:val="1"/>
              </w:numPr>
              <w:suppressLineNumbers w:val="0"/>
              <w:ind w:left="425" w:leftChars="0" w:hanging="425" w:firstLineChars="0"/>
              <w:jc w:val="center"/>
              <w:textAlignment w:val="center"/>
              <w:rPr>
                <w:rFonts w:hint="eastAsia" w:ascii="宋体" w:hAnsi="宋体" w:eastAsia="宋体" w:cs="宋体"/>
                <w:i w:val="0"/>
                <w:iCs w:val="0"/>
                <w:color w:val="000000"/>
                <w:sz w:val="22"/>
                <w:szCs w:val="22"/>
                <w:u w:val="none"/>
              </w:rPr>
            </w:pPr>
          </w:p>
        </w:tc>
        <w:tc>
          <w:tcPr>
            <w:tcW w:w="3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技术测试平台</w:t>
            </w:r>
          </w:p>
        </w:tc>
        <w:tc>
          <w:tcPr>
            <w:tcW w:w="129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一级</w:t>
            </w:r>
          </w:p>
        </w:tc>
        <w:tc>
          <w:tcPr>
            <w:tcW w:w="193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本地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7" w:hRule="atLeast"/>
        </w:trPr>
        <w:tc>
          <w:tcPr>
            <w:tcW w:w="1080" w:type="dxa"/>
            <w:tcBorders>
              <w:top w:val="single" w:color="000000" w:sz="4" w:space="0"/>
              <w:left w:val="single" w:color="000000" w:sz="4" w:space="0"/>
              <w:bottom w:val="single" w:color="auto" w:sz="4" w:space="0"/>
              <w:right w:val="single" w:color="000000" w:sz="4" w:space="0"/>
            </w:tcBorders>
            <w:shd w:val="clear" w:color="auto" w:fill="auto"/>
            <w:vAlign w:val="center"/>
          </w:tcPr>
          <w:p>
            <w:pPr>
              <w:keepNext w:val="0"/>
              <w:keepLines w:val="0"/>
              <w:widowControl/>
              <w:numPr>
                <w:ilvl w:val="0"/>
                <w:numId w:val="1"/>
              </w:numPr>
              <w:suppressLineNumbers w:val="0"/>
              <w:ind w:left="425" w:leftChars="0" w:hanging="425" w:firstLineChars="0"/>
              <w:jc w:val="center"/>
              <w:textAlignment w:val="center"/>
              <w:rPr>
                <w:rFonts w:hint="eastAsia" w:ascii="宋体" w:hAnsi="宋体" w:eastAsia="宋体" w:cs="宋体"/>
                <w:i w:val="0"/>
                <w:iCs w:val="0"/>
                <w:color w:val="000000"/>
                <w:sz w:val="22"/>
                <w:szCs w:val="22"/>
                <w:u w:val="none"/>
              </w:rPr>
            </w:pPr>
          </w:p>
        </w:tc>
        <w:tc>
          <w:tcPr>
            <w:tcW w:w="3704" w:type="dxa"/>
            <w:tcBorders>
              <w:top w:val="single" w:color="000000" w:sz="4" w:space="0"/>
              <w:left w:val="single" w:color="000000" w:sz="4" w:space="0"/>
              <w:bottom w:val="single" w:color="auto"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金蝶云星空</w:t>
            </w:r>
          </w:p>
        </w:tc>
        <w:tc>
          <w:tcPr>
            <w:tcW w:w="1291" w:type="dxa"/>
            <w:tcBorders>
              <w:top w:val="single" w:color="000000" w:sz="4" w:space="0"/>
              <w:left w:val="single" w:color="000000" w:sz="4" w:space="0"/>
              <w:bottom w:val="single" w:color="auto"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一级</w:t>
            </w:r>
          </w:p>
        </w:tc>
        <w:tc>
          <w:tcPr>
            <w:tcW w:w="1935" w:type="dxa"/>
            <w:tcBorders>
              <w:top w:val="single" w:color="000000" w:sz="4" w:space="0"/>
              <w:left w:val="single" w:color="000000" w:sz="4" w:space="0"/>
              <w:bottom w:val="single" w:color="auto"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本地</w:t>
            </w:r>
          </w:p>
        </w:tc>
      </w:tr>
    </w:tbl>
    <w:p>
      <w:pPr>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br w:type="page"/>
      </w:r>
    </w:p>
    <w:p>
      <w:pPr>
        <w:numPr>
          <w:ilvl w:val="0"/>
          <w:numId w:val="2"/>
        </w:numPr>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对外：</w:t>
      </w:r>
    </w:p>
    <w:p>
      <w:pPr>
        <w:numPr>
          <w:numId w:val="0"/>
        </w:numPr>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企业官网、</w:t>
      </w:r>
      <w:r>
        <w:rPr>
          <w:rFonts w:hint="eastAsia" w:ascii="宋体" w:hAnsi="宋体" w:eastAsia="宋体" w:cs="宋体"/>
          <w:i w:val="0"/>
          <w:iCs w:val="0"/>
          <w:color w:val="000000"/>
          <w:kern w:val="0"/>
          <w:sz w:val="22"/>
          <w:szCs w:val="22"/>
          <w:u w:val="none"/>
          <w:lang w:val="en-US" w:eastAsia="zh-CN" w:bidi="ar"/>
        </w:rPr>
        <w:t>索贝数码业务信息平台系统</w:t>
      </w:r>
    </w:p>
    <w:p>
      <w:pPr>
        <w:numPr>
          <w:numId w:val="0"/>
        </w:numPr>
        <w:rPr>
          <w:rFonts w:hint="default" w:ascii="宋体" w:hAnsi="宋体" w:eastAsia="宋体" w:cs="宋体"/>
          <w:b/>
          <w:bCs/>
          <w:sz w:val="24"/>
          <w:szCs w:val="32"/>
          <w:highlight w:val="none"/>
          <w:lang w:val="en-US" w:eastAsia="zh-CN"/>
        </w:rPr>
      </w:pPr>
    </w:p>
    <w:p>
      <w:pPr>
        <w:numPr>
          <w:numId w:val="0"/>
        </w:numPr>
        <w:rPr>
          <w:rFonts w:hint="eastAsia" w:ascii="宋体" w:hAnsi="宋体" w:eastAsia="宋体" w:cs="宋体"/>
          <w:b/>
          <w:bCs/>
          <w:sz w:val="24"/>
          <w:szCs w:val="32"/>
          <w:highlight w:val="none"/>
          <w:lang w:val="en-US" w:eastAsia="zh-CN"/>
        </w:rPr>
      </w:pPr>
    </w:p>
    <w:p>
      <w:pPr>
        <w:numPr>
          <w:ilvl w:val="0"/>
          <w:numId w:val="2"/>
        </w:numPr>
        <w:rPr>
          <w:rFonts w:hint="default"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对内：</w:t>
      </w:r>
    </w:p>
    <w:p>
      <w:pPr>
        <w:rPr>
          <w:rFonts w:hint="default"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技术测试平台、</w:t>
      </w:r>
      <w:r>
        <w:rPr>
          <w:rFonts w:hint="eastAsia" w:ascii="宋体" w:hAnsi="宋体" w:eastAsia="宋体" w:cs="宋体"/>
          <w:i w:val="0"/>
          <w:iCs w:val="0"/>
          <w:color w:val="000000"/>
          <w:kern w:val="0"/>
          <w:sz w:val="22"/>
          <w:szCs w:val="22"/>
          <w:u w:val="none"/>
          <w:lang w:val="en-US" w:eastAsia="zh-CN" w:bidi="ar"/>
        </w:rPr>
        <w:t>金蝶云星空、</w:t>
      </w:r>
    </w:p>
    <w:p>
      <w:pPr>
        <w:rPr>
          <w:rFonts w:hint="eastAsia" w:ascii="宋体" w:hAnsi="宋体" w:eastAsia="宋体" w:cs="宋体"/>
          <w:b/>
          <w:bCs/>
          <w:sz w:val="24"/>
          <w:szCs w:val="32"/>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outlineLvl w:val="0"/>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附件2 备案提交情况</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eastAsia" w:ascii="宋体" w:hAnsi="宋体" w:eastAsia="宋体" w:cs="宋体"/>
          <w:b/>
          <w:bCs/>
          <w:sz w:val="24"/>
          <w:szCs w:val="32"/>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drawing>
          <wp:inline distT="0" distB="0" distL="114300" distR="114300">
            <wp:extent cx="5264785" cy="1536065"/>
            <wp:effectExtent l="0" t="0" r="12065" b="6985"/>
            <wp:docPr id="2" name="图片 2" descr="bfda4dfee639a0c1d7ba0f14f4db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fda4dfee639a0c1d7ba0f14f4dbde5"/>
                    <pic:cNvPicPr>
                      <a:picLocks noChangeAspect="1"/>
                    </pic:cNvPicPr>
                  </pic:nvPicPr>
                  <pic:blipFill>
                    <a:blip r:embed="rId4"/>
                    <a:stretch>
                      <a:fillRect/>
                    </a:stretch>
                  </pic:blipFill>
                  <pic:spPr>
                    <a:xfrm>
                      <a:off x="0" y="0"/>
                      <a:ext cx="5264785" cy="1536065"/>
                    </a:xfrm>
                    <a:prstGeom prst="rect">
                      <a:avLst/>
                    </a:prstGeom>
                  </pic:spPr>
                </pic:pic>
              </a:graphicData>
            </a:graphic>
          </wp:inline>
        </w:drawing>
      </w:r>
    </w:p>
    <w:p>
      <w:pPr>
        <w:rPr>
          <w:rFonts w:hint="eastAsia"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outlineLvl w:val="0"/>
        <w:rPr>
          <w:rFonts w:hint="default" w:ascii="宋体" w:hAnsi="宋体" w:eastAsia="宋体" w:cs="宋体"/>
          <w:b/>
          <w:bCs/>
          <w:sz w:val="24"/>
          <w:szCs w:val="32"/>
          <w:highlight w:val="none"/>
          <w:lang w:val="en-US" w:eastAsia="zh-CN"/>
        </w:rPr>
      </w:pPr>
      <w:r>
        <w:rPr>
          <w:rFonts w:hint="eastAsia" w:ascii="宋体" w:hAnsi="宋体" w:eastAsia="宋体" w:cs="宋体"/>
          <w:b/>
          <w:bCs/>
          <w:sz w:val="24"/>
          <w:szCs w:val="32"/>
          <w:highlight w:val="none"/>
          <w:lang w:val="en-US" w:eastAsia="zh-CN"/>
        </w:rPr>
        <w:t>附件3 漏洞修复情况</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34AE6D"/>
    <w:multiLevelType w:val="singleLevel"/>
    <w:tmpl w:val="1334AE6D"/>
    <w:lvl w:ilvl="0" w:tentative="0">
      <w:start w:val="1"/>
      <w:numFmt w:val="decimal"/>
      <w:suff w:val="nothing"/>
      <w:lvlText w:val="%1、"/>
      <w:lvlJc w:val="left"/>
    </w:lvl>
  </w:abstractNum>
  <w:abstractNum w:abstractNumId="1">
    <w:nsid w:val="2A67B8E5"/>
    <w:multiLevelType w:val="singleLevel"/>
    <w:tmpl w:val="2A67B8E5"/>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3NWM5NzBkNGMwMjE1YzJhZWYxMGFlZjFiODk1MmMifQ=="/>
  </w:docVars>
  <w:rsids>
    <w:rsidRoot w:val="00000000"/>
    <w:rsid w:val="007D6A53"/>
    <w:rsid w:val="01066A48"/>
    <w:rsid w:val="023615AF"/>
    <w:rsid w:val="02D05560"/>
    <w:rsid w:val="03200984"/>
    <w:rsid w:val="034026E5"/>
    <w:rsid w:val="04335DA6"/>
    <w:rsid w:val="04402271"/>
    <w:rsid w:val="055B3806"/>
    <w:rsid w:val="06161733"/>
    <w:rsid w:val="07740BAF"/>
    <w:rsid w:val="083420ED"/>
    <w:rsid w:val="08512C9F"/>
    <w:rsid w:val="08966904"/>
    <w:rsid w:val="08DD2784"/>
    <w:rsid w:val="09DB4F16"/>
    <w:rsid w:val="0A3D172D"/>
    <w:rsid w:val="0A481E7F"/>
    <w:rsid w:val="0A9926DB"/>
    <w:rsid w:val="0A9B6453"/>
    <w:rsid w:val="0AE24082"/>
    <w:rsid w:val="0B187AA4"/>
    <w:rsid w:val="0B24469B"/>
    <w:rsid w:val="0B6131F9"/>
    <w:rsid w:val="0CB60689"/>
    <w:rsid w:val="0CF14A50"/>
    <w:rsid w:val="0EA31D7A"/>
    <w:rsid w:val="0F39284F"/>
    <w:rsid w:val="0F7C2CF7"/>
    <w:rsid w:val="10303AE2"/>
    <w:rsid w:val="103A226A"/>
    <w:rsid w:val="105059DF"/>
    <w:rsid w:val="11B04EDA"/>
    <w:rsid w:val="11B5604C"/>
    <w:rsid w:val="11C10E95"/>
    <w:rsid w:val="12955E7E"/>
    <w:rsid w:val="12C16C73"/>
    <w:rsid w:val="12CC7AF2"/>
    <w:rsid w:val="13A22600"/>
    <w:rsid w:val="14065285"/>
    <w:rsid w:val="15AF49F5"/>
    <w:rsid w:val="15CD7A9E"/>
    <w:rsid w:val="15D030C0"/>
    <w:rsid w:val="163065E9"/>
    <w:rsid w:val="17B22B7E"/>
    <w:rsid w:val="17C70888"/>
    <w:rsid w:val="17CE7E68"/>
    <w:rsid w:val="18D72D4C"/>
    <w:rsid w:val="18EB4A4A"/>
    <w:rsid w:val="18ED0B74"/>
    <w:rsid w:val="18FF648E"/>
    <w:rsid w:val="1968609A"/>
    <w:rsid w:val="1ABA0B77"/>
    <w:rsid w:val="1B4B7A22"/>
    <w:rsid w:val="1BCB41D7"/>
    <w:rsid w:val="1BD9300C"/>
    <w:rsid w:val="1C024584"/>
    <w:rsid w:val="1C56667E"/>
    <w:rsid w:val="1CD221A8"/>
    <w:rsid w:val="1D3A7D4E"/>
    <w:rsid w:val="1D4D43FE"/>
    <w:rsid w:val="1EA90CE7"/>
    <w:rsid w:val="1F016D75"/>
    <w:rsid w:val="1F30765A"/>
    <w:rsid w:val="20621A95"/>
    <w:rsid w:val="20A21E92"/>
    <w:rsid w:val="20EC75B1"/>
    <w:rsid w:val="21D40771"/>
    <w:rsid w:val="221B014E"/>
    <w:rsid w:val="23197DBA"/>
    <w:rsid w:val="23E97DD8"/>
    <w:rsid w:val="248A15BB"/>
    <w:rsid w:val="24D4698F"/>
    <w:rsid w:val="28177609"/>
    <w:rsid w:val="285A5748"/>
    <w:rsid w:val="285F02CF"/>
    <w:rsid w:val="2895052E"/>
    <w:rsid w:val="291C64CD"/>
    <w:rsid w:val="293366CF"/>
    <w:rsid w:val="293D6BFB"/>
    <w:rsid w:val="2A5A37DD"/>
    <w:rsid w:val="2B9C139D"/>
    <w:rsid w:val="2BBD4024"/>
    <w:rsid w:val="2C683709"/>
    <w:rsid w:val="2C8903AA"/>
    <w:rsid w:val="2CE61358"/>
    <w:rsid w:val="2D377E06"/>
    <w:rsid w:val="2D450775"/>
    <w:rsid w:val="2D5664DE"/>
    <w:rsid w:val="2E1A39AF"/>
    <w:rsid w:val="2E903C71"/>
    <w:rsid w:val="2FB15C4D"/>
    <w:rsid w:val="300C7328"/>
    <w:rsid w:val="3103706A"/>
    <w:rsid w:val="313E5C07"/>
    <w:rsid w:val="315076E8"/>
    <w:rsid w:val="3195334D"/>
    <w:rsid w:val="31DE6AA2"/>
    <w:rsid w:val="322C1F03"/>
    <w:rsid w:val="32D3237F"/>
    <w:rsid w:val="333728D2"/>
    <w:rsid w:val="33D95773"/>
    <w:rsid w:val="34474DD2"/>
    <w:rsid w:val="34670FD0"/>
    <w:rsid w:val="34BD5094"/>
    <w:rsid w:val="34EE16F2"/>
    <w:rsid w:val="35944047"/>
    <w:rsid w:val="37B409D1"/>
    <w:rsid w:val="37FA215C"/>
    <w:rsid w:val="389E6A5F"/>
    <w:rsid w:val="38E35FF9"/>
    <w:rsid w:val="391159AF"/>
    <w:rsid w:val="39534219"/>
    <w:rsid w:val="3B5B5607"/>
    <w:rsid w:val="3C3025F0"/>
    <w:rsid w:val="3C4D7F4E"/>
    <w:rsid w:val="3C940DD1"/>
    <w:rsid w:val="3CB054DF"/>
    <w:rsid w:val="3D5B544A"/>
    <w:rsid w:val="3D624A2B"/>
    <w:rsid w:val="3D6E138E"/>
    <w:rsid w:val="3E156A49"/>
    <w:rsid w:val="3E29379B"/>
    <w:rsid w:val="3E55633E"/>
    <w:rsid w:val="3F161F71"/>
    <w:rsid w:val="3F4050D9"/>
    <w:rsid w:val="3F7352E0"/>
    <w:rsid w:val="3FD87226"/>
    <w:rsid w:val="3FDD483D"/>
    <w:rsid w:val="40774C91"/>
    <w:rsid w:val="41AA4BF2"/>
    <w:rsid w:val="423544BC"/>
    <w:rsid w:val="429D6801"/>
    <w:rsid w:val="441E71D2"/>
    <w:rsid w:val="45417DFF"/>
    <w:rsid w:val="45637592"/>
    <w:rsid w:val="458D460F"/>
    <w:rsid w:val="45DD7344"/>
    <w:rsid w:val="46402205"/>
    <w:rsid w:val="46D2736E"/>
    <w:rsid w:val="46DF70EC"/>
    <w:rsid w:val="471825FE"/>
    <w:rsid w:val="4730784A"/>
    <w:rsid w:val="474433F3"/>
    <w:rsid w:val="47783BB6"/>
    <w:rsid w:val="48DA400F"/>
    <w:rsid w:val="49D071C0"/>
    <w:rsid w:val="4BDC1E4C"/>
    <w:rsid w:val="4C453E95"/>
    <w:rsid w:val="4C7622A1"/>
    <w:rsid w:val="4D4E28D6"/>
    <w:rsid w:val="4D64597E"/>
    <w:rsid w:val="4DB766CD"/>
    <w:rsid w:val="4DBD56E8"/>
    <w:rsid w:val="4E345F70"/>
    <w:rsid w:val="4F0040A4"/>
    <w:rsid w:val="502E322E"/>
    <w:rsid w:val="51316796"/>
    <w:rsid w:val="51695F30"/>
    <w:rsid w:val="525C7843"/>
    <w:rsid w:val="528F7C18"/>
    <w:rsid w:val="53373E0C"/>
    <w:rsid w:val="539574B0"/>
    <w:rsid w:val="540E1011"/>
    <w:rsid w:val="5486329D"/>
    <w:rsid w:val="549C3E55"/>
    <w:rsid w:val="54CB6F02"/>
    <w:rsid w:val="551B1C37"/>
    <w:rsid w:val="551E6CEE"/>
    <w:rsid w:val="56116B96"/>
    <w:rsid w:val="572B3C88"/>
    <w:rsid w:val="573841BD"/>
    <w:rsid w:val="57407733"/>
    <w:rsid w:val="575907F5"/>
    <w:rsid w:val="576F0018"/>
    <w:rsid w:val="57BE4AFC"/>
    <w:rsid w:val="585C67EF"/>
    <w:rsid w:val="59084281"/>
    <w:rsid w:val="5975743C"/>
    <w:rsid w:val="59D979CB"/>
    <w:rsid w:val="5A1761E3"/>
    <w:rsid w:val="5A2E01D2"/>
    <w:rsid w:val="5A7B6CD4"/>
    <w:rsid w:val="5A852809"/>
    <w:rsid w:val="5B501F0F"/>
    <w:rsid w:val="5B5E63DA"/>
    <w:rsid w:val="5BAF30D9"/>
    <w:rsid w:val="5BC93B5A"/>
    <w:rsid w:val="5BD26DC8"/>
    <w:rsid w:val="5C013B13"/>
    <w:rsid w:val="5C1F025F"/>
    <w:rsid w:val="5CD64696"/>
    <w:rsid w:val="5CF4111F"/>
    <w:rsid w:val="5DE352BC"/>
    <w:rsid w:val="5E6E102A"/>
    <w:rsid w:val="5FC6687A"/>
    <w:rsid w:val="5FFE462F"/>
    <w:rsid w:val="6118527D"/>
    <w:rsid w:val="613F6CAD"/>
    <w:rsid w:val="61EB2991"/>
    <w:rsid w:val="626D15F8"/>
    <w:rsid w:val="630930CF"/>
    <w:rsid w:val="631A1780"/>
    <w:rsid w:val="6415668A"/>
    <w:rsid w:val="64453E92"/>
    <w:rsid w:val="65336B29"/>
    <w:rsid w:val="66A55799"/>
    <w:rsid w:val="66FB71D3"/>
    <w:rsid w:val="675B29A9"/>
    <w:rsid w:val="6760797E"/>
    <w:rsid w:val="676905E0"/>
    <w:rsid w:val="67916F26"/>
    <w:rsid w:val="67F65BEC"/>
    <w:rsid w:val="682E5386"/>
    <w:rsid w:val="68376930"/>
    <w:rsid w:val="68642751"/>
    <w:rsid w:val="68E1064A"/>
    <w:rsid w:val="6B39476E"/>
    <w:rsid w:val="6B7B4D86"/>
    <w:rsid w:val="6D3276C6"/>
    <w:rsid w:val="6D3D707A"/>
    <w:rsid w:val="6ECE1671"/>
    <w:rsid w:val="6F1E6154"/>
    <w:rsid w:val="6F59718C"/>
    <w:rsid w:val="6FD9651F"/>
    <w:rsid w:val="709541F4"/>
    <w:rsid w:val="70CD7E32"/>
    <w:rsid w:val="716532A2"/>
    <w:rsid w:val="719170B1"/>
    <w:rsid w:val="71C54FAD"/>
    <w:rsid w:val="725B321B"/>
    <w:rsid w:val="73BB5FFC"/>
    <w:rsid w:val="752C0E9F"/>
    <w:rsid w:val="754D1541"/>
    <w:rsid w:val="75705230"/>
    <w:rsid w:val="770C71DA"/>
    <w:rsid w:val="77165679"/>
    <w:rsid w:val="790939D1"/>
    <w:rsid w:val="7A680BCB"/>
    <w:rsid w:val="7A884DCA"/>
    <w:rsid w:val="7A9B522E"/>
    <w:rsid w:val="7B0C533F"/>
    <w:rsid w:val="7B39601F"/>
    <w:rsid w:val="7B963ECD"/>
    <w:rsid w:val="7CAF4890"/>
    <w:rsid w:val="7DCB394B"/>
    <w:rsid w:val="7DF033B2"/>
    <w:rsid w:val="7E5131B9"/>
    <w:rsid w:val="7EDE320A"/>
    <w:rsid w:val="7F3D2627"/>
    <w:rsid w:val="7F524A36"/>
    <w:rsid w:val="7FB83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2874</Words>
  <Characters>2975</Characters>
  <Lines>0</Lines>
  <Paragraphs>0</Paragraphs>
  <TotalTime>2</TotalTime>
  <ScaleCrop>false</ScaleCrop>
  <LinksUpToDate>false</LinksUpToDate>
  <CharactersWithSpaces>2987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2024-11-05T06:12:00Z</dcterms:created>
  <dc:creator>何天庆</dc:creator>
  <cp:lastModifiedBy>BS</cp:lastModifiedBy>
  <dcterms:modified xsi:type="dcterms:W3CDTF">2024-11-08T02:32:46Z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8D8B7E789E364A428AF298268C337807_12</vt:lpwstr>
  </property>
</Properties>
</file>