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bfq87pvfqpm" w:id="0"/>
      <w:bookmarkEnd w:id="0"/>
      <w:r w:rsidDel="00000000" w:rsidR="00000000" w:rsidRPr="00000000">
        <w:rPr>
          <w:b w:val="1"/>
          <w:bCs w:val="1"/>
          <w:color w:val="000000"/>
          <w:sz w:val="26"/>
          <w:szCs w:val="26"/>
          <w:rtl w:val="0"/>
        </w:rPr>
        <w:t xml:space="preserve">1. What is Cynefin?</w:t>
      </w:r>
    </w:p>
    <w:p w:rsidR="00000000" w:rsidDel="00000000" w:rsidP="00000000" w:rsidRDefault="00000000" w:rsidRPr="00000000" w14:paraId="00000002">
      <w:pPr>
        <w:spacing w:after="240" w:before="240" w:lineRule="auto"/>
        <w:rPr/>
      </w:pPr>
      <w:r w:rsidDel="00000000" w:rsidR="00000000" w:rsidRPr="00000000">
        <w:rPr>
          <w:rtl w:val="0"/>
        </w:rPr>
        <w:t xml:space="preserve">The Cynefin framework (Dave Snowden, The Cynefin Company) is a sense‑making and decision‑support tool for complex systems. It distinguishes between different “domains” of problem context:</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bCs w:val="1"/>
          <w:rtl w:val="0"/>
        </w:rPr>
        <w:t xml:space="preserve">Clear / Obvious</w:t>
      </w:r>
      <w:r w:rsidDel="00000000" w:rsidR="00000000" w:rsidRPr="00000000">
        <w:rPr>
          <w:rtl w:val="0"/>
        </w:rPr>
        <w:t xml:space="preserve">: simple, repeatable tasks with known cause and effect—use best practices.</w:t>
        <w:br w:type="textWrapping"/>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bCs w:val="1"/>
          <w:rtl w:val="0"/>
        </w:rPr>
        <w:t xml:space="preserve">Complicated</w:t>
      </w:r>
      <w:r w:rsidDel="00000000" w:rsidR="00000000" w:rsidRPr="00000000">
        <w:rPr>
          <w:rtl w:val="0"/>
        </w:rPr>
        <w:t xml:space="preserve">: problems that require analysis by expertise, but with predictable solutions.</w:t>
        <w:br w:type="textWrapping"/>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Complex</w:t>
      </w:r>
      <w:r w:rsidDel="00000000" w:rsidR="00000000" w:rsidRPr="00000000">
        <w:rPr>
          <w:rtl w:val="0"/>
        </w:rPr>
        <w:t xml:space="preserve">: uncertain, emergent situations where cause and effect can only be understood in hindsight. Safe‑to‑fail experiments, probe–sense–respond learning is required.</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Chaotic</w:t>
      </w:r>
      <w:r w:rsidDel="00000000" w:rsidR="00000000" w:rsidRPr="00000000">
        <w:rPr>
          <w:rtl w:val="0"/>
        </w:rPr>
        <w:t xml:space="preserve">: crises where immediate action is needed to stabilise, followed by sense‑making and recovery.</w:t>
        <w:br w:type="textWrapping"/>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Disorder</w:t>
      </w:r>
      <w:r w:rsidDel="00000000" w:rsidR="00000000" w:rsidRPr="00000000">
        <w:rPr>
          <w:rtl w:val="0"/>
        </w:rPr>
        <w:t xml:space="preserve">: when you don’t yet know which domain you’re in.</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9940vx0k1rm" w:id="1"/>
      <w:bookmarkEnd w:id="1"/>
      <w:r w:rsidDel="00000000" w:rsidR="00000000" w:rsidRPr="00000000">
        <w:rPr>
          <w:b w:val="1"/>
          <w:bCs w:val="1"/>
          <w:color w:val="000000"/>
          <w:sz w:val="26"/>
          <w:szCs w:val="26"/>
          <w:rtl w:val="0"/>
        </w:rPr>
        <w:t xml:space="preserve">2. Why it matters for Neo‑Freebooters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u06gj0qzh7v7" w:id="2"/>
      <w:bookmarkEnd w:id="2"/>
      <w:r w:rsidDel="00000000" w:rsidR="00000000" w:rsidRPr="00000000">
        <w:rPr>
          <w:b w:val="1"/>
          <w:bCs w:val="1"/>
          <w:color w:val="000000"/>
          <w:sz w:val="22"/>
          <w:szCs w:val="22"/>
          <w:rtl w:val="0"/>
        </w:rPr>
        <w:t xml:space="preserve">a) Matching approach to context</w:t>
      </w:r>
    </w:p>
    <w:p w:rsidR="00000000" w:rsidDel="00000000" w:rsidP="00000000" w:rsidRDefault="00000000" w:rsidRPr="00000000" w14:paraId="0000000A">
      <w:pPr>
        <w:spacing w:after="240" w:before="240" w:lineRule="auto"/>
        <w:rPr/>
      </w:pPr>
      <w:r w:rsidDel="00000000" w:rsidR="00000000" w:rsidRPr="00000000">
        <w:rPr>
          <w:rtl w:val="0"/>
        </w:rPr>
        <w:t xml:space="preserve">Freebooter nodes, commons institutions, and strategic overlays often operate in </w:t>
      </w:r>
      <w:r w:rsidDel="00000000" w:rsidR="00000000" w:rsidRPr="00000000">
        <w:rPr>
          <w:b w:val="1"/>
          <w:bCs w:val="1"/>
          <w:rtl w:val="0"/>
        </w:rPr>
        <w:t xml:space="preserve">complex or chaotic</w:t>
      </w:r>
      <w:r w:rsidDel="00000000" w:rsidR="00000000" w:rsidRPr="00000000">
        <w:rPr>
          <w:rtl w:val="0"/>
        </w:rPr>
        <w:t xml:space="preserve"> systems: uncertain markets, shifting supply chains, emergent technologies (like AI or decentralized fabrication), and distributed social movement dynamics. The Cynefin lens suggests: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Don’t apply “clear‑domain” solutions (rigid plans, top‑down control) to complex change. Use agile experimentation, safe‑to‑fail probes, peer feedback, and iterative adaptation.</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Recognize when parts of the landscape are moving from “genesis / custom” to “product / commodity”—then shift strategy to shared commons or rapid adaptation rather than continuous reinvention.</w:t>
        <w:br w:type="textWrapping"/>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m2142x3xlxml" w:id="3"/>
      <w:bookmarkEnd w:id="3"/>
      <w:r w:rsidDel="00000000" w:rsidR="00000000" w:rsidRPr="00000000">
        <w:rPr>
          <w:b w:val="1"/>
          <w:bCs w:val="1"/>
          <w:color w:val="000000"/>
          <w:sz w:val="22"/>
          <w:szCs w:val="22"/>
          <w:rtl w:val="0"/>
        </w:rPr>
        <w:t xml:space="preserve">b) Enhancing System 4 intelligence in VSM</w:t>
      </w:r>
    </w:p>
    <w:p w:rsidR="00000000" w:rsidDel="00000000" w:rsidP="00000000" w:rsidRDefault="00000000" w:rsidRPr="00000000" w14:paraId="0000000E">
      <w:pPr>
        <w:spacing w:after="240" w:before="240" w:lineRule="auto"/>
        <w:rPr/>
      </w:pPr>
      <w:r w:rsidDel="00000000" w:rsidR="00000000" w:rsidRPr="00000000">
        <w:rPr>
          <w:rtl w:val="0"/>
        </w:rPr>
        <w:t xml:space="preserve">In the Viable System Model, System 4 is the “intelligence and adaptation” arm. Cynefin tools can reinforce this: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Use SenseMaker‑style qualitative sense‑making to harvest weak signals from the network of freebooter nodes.</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Organize distributed mapping exercises (local nodes map their perceived domain/context: clear vs complex vs chaotic) and compare them horizontally to spot emerging patterns or mismatches.</w:t>
        <w:br w:type="textWrapping"/>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Create rule‑of‑thumb “domain maps” for parts of the value chain (e.g. AI tooling, micro‑fabrication, food production) so nodes can decide whether to experiment locally, build shared infrastructure, or use commodity systems.</w:t>
        <w:br w:type="textWrapping"/>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infzgvkmbmcf" w:id="4"/>
      <w:bookmarkEnd w:id="4"/>
      <w:r w:rsidDel="00000000" w:rsidR="00000000" w:rsidRPr="00000000">
        <w:rPr>
          <w:b w:val="1"/>
          <w:bCs w:val="1"/>
          <w:color w:val="000000"/>
          <w:sz w:val="22"/>
          <w:szCs w:val="22"/>
          <w:rtl w:val="0"/>
        </w:rPr>
        <w:t xml:space="preserve">c) Aligning Agile, Burner Ethos and Cynefin</w:t>
      </w:r>
    </w:p>
    <w:p w:rsidR="00000000" w:rsidDel="00000000" w:rsidP="00000000" w:rsidRDefault="00000000" w:rsidRPr="00000000" w14:paraId="00000013">
      <w:pPr>
        <w:spacing w:after="240" w:before="240" w:lineRule="auto"/>
        <w:rPr/>
      </w:pPr>
      <w:r w:rsidDel="00000000" w:rsidR="00000000" w:rsidRPr="00000000">
        <w:rPr>
          <w:rtl w:val="0"/>
        </w:rPr>
        <w:t xml:space="preserve">Cynefin helps explain </w:t>
      </w:r>
      <w:r w:rsidDel="00000000" w:rsidR="00000000" w:rsidRPr="00000000">
        <w:rPr>
          <w:i w:val="1"/>
          <w:iCs w:val="1"/>
          <w:rtl w:val="0"/>
        </w:rPr>
        <w:t xml:space="preserve">why</w:t>
      </w:r>
      <w:r w:rsidDel="00000000" w:rsidR="00000000" w:rsidRPr="00000000">
        <w:rPr>
          <w:rtl w:val="0"/>
        </w:rPr>
        <w:t xml:space="preserve"> the Burner and Agile principles are so important:</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complex domains</w:t>
      </w:r>
      <w:r w:rsidDel="00000000" w:rsidR="00000000" w:rsidRPr="00000000">
        <w:rPr>
          <w:rtl w:val="0"/>
        </w:rPr>
        <w:t xml:space="preserve">, co‑creation, gifting, transparency, and self‑reliance let communities adapt rapidly without rigid command structures.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chaotic or crisis contexts</w:t>
      </w:r>
      <w:r w:rsidDel="00000000" w:rsidR="00000000" w:rsidRPr="00000000">
        <w:rPr>
          <w:rtl w:val="0"/>
        </w:rPr>
        <w:t xml:space="preserve">, radical self‑reliance and swarming responses can stabilise situations until patterns re‑emerge.</w:t>
        <w:br w:type="textWrapping"/>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In domains drifting toward clarity/commodity, gifting and radical inclusion can help consolidate stable commons before enclosure or commercial capture occurs.</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bkd47rkauft" w:id="5"/>
      <w:bookmarkEnd w:id="5"/>
      <w:r w:rsidDel="00000000" w:rsidR="00000000" w:rsidRPr="00000000">
        <w:rPr>
          <w:b w:val="1"/>
          <w:bCs w:val="1"/>
          <w:color w:val="000000"/>
          <w:sz w:val="26"/>
          <w:szCs w:val="26"/>
          <w:rtl w:val="0"/>
        </w:rPr>
        <w:t xml:space="preserve">3. Practical steps for integration</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Domain mapping workshops</w:t>
      </w:r>
      <w:r w:rsidDel="00000000" w:rsidR="00000000" w:rsidRPr="00000000">
        <w:rPr>
          <w:rtl w:val="0"/>
        </w:rPr>
        <w:t xml:space="preserve">: Each node (tool library, micro‑fab workshop, AI literacy hub, community farm) regularly asks: “Which domain am I in right now for key value chains or practices?” Map that out and share across the federation.</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Sense‑making retreats</w:t>
      </w:r>
      <w:r w:rsidDel="00000000" w:rsidR="00000000" w:rsidRPr="00000000">
        <w:rPr>
          <w:rtl w:val="0"/>
        </w:rPr>
        <w:t xml:space="preserve">: Periodic gatherings where federated nodes bring back qualitative stories (“hunches, surprises, anomalies”) and collectively surface weak signals.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Safe‑to‑fail experiments</w:t>
      </w:r>
      <w:r w:rsidDel="00000000" w:rsidR="00000000" w:rsidRPr="00000000">
        <w:rPr>
          <w:rtl w:val="0"/>
        </w:rPr>
        <w:t xml:space="preserve">: Treat new technologies or practices as probes—not commitments. Rapid feedback loops, small bets, iterated learning.</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Cynefin literacy as modern literacy</w:t>
      </w:r>
      <w:r w:rsidDel="00000000" w:rsidR="00000000" w:rsidRPr="00000000">
        <w:rPr>
          <w:rtl w:val="0"/>
        </w:rPr>
        <w:t xml:space="preserve">: Equip T‑shaped freebooters with basic complexity literacy so they can better interpret shifting domains and choose equitable response strategies.</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Crisis protocols</w:t>
      </w:r>
      <w:r w:rsidDel="00000000" w:rsidR="00000000" w:rsidRPr="00000000">
        <w:rPr>
          <w:rtl w:val="0"/>
        </w:rPr>
        <w:t xml:space="preserve">: Develop “if‑domain‑is‑chaotic” cultural and operational protocols (e.g. radical self‑reliance triggers, gifting rapid‑response nodes, swarming logistics) that can be activated when disruption strikes.</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0su9cvk1qsk" w:id="6"/>
      <w:bookmarkEnd w:id="6"/>
      <w:r w:rsidDel="00000000" w:rsidR="00000000" w:rsidRPr="00000000">
        <w:rPr>
          <w:b w:val="1"/>
          <w:bCs w:val="1"/>
          <w:color w:val="000000"/>
          <w:sz w:val="26"/>
          <w:szCs w:val="26"/>
          <w:rtl w:val="0"/>
        </w:rPr>
        <w:t xml:space="preserve">4. How this strengthens the thesis</w:t>
      </w:r>
    </w:p>
    <w:p w:rsidR="00000000" w:rsidDel="00000000" w:rsidP="00000000" w:rsidRDefault="00000000" w:rsidRPr="00000000" w14:paraId="0000001E">
      <w:pPr>
        <w:spacing w:after="240" w:before="240" w:lineRule="auto"/>
        <w:rPr/>
      </w:pPr>
      <w:r w:rsidDel="00000000" w:rsidR="00000000" w:rsidRPr="00000000">
        <w:rPr>
          <w:rtl w:val="0"/>
        </w:rPr>
        <w:t xml:space="preserve">By adding a Cynefin‑informed layer to the strategic overlay, the Neo‑Freebooter framework:</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Becomes more explicitly </w:t>
      </w:r>
      <w:r w:rsidDel="00000000" w:rsidR="00000000" w:rsidRPr="00000000">
        <w:rPr>
          <w:i w:val="1"/>
          <w:iCs w:val="1"/>
          <w:rtl w:val="0"/>
        </w:rPr>
        <w:t xml:space="preserve">context‑aware</w:t>
      </w:r>
      <w:r w:rsidDel="00000000" w:rsidR="00000000" w:rsidRPr="00000000">
        <w:rPr>
          <w:rtl w:val="0"/>
        </w:rPr>
        <w:t xml:space="preserve">, not just adaptive.</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Reinforces distributed strategic intelligence (VSM System 4) grounded in real sense‑making.</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Provides a bridge between emergent practices (swarming, safe‑to‑fail probes, decentralized orchestration) and formal strategic doctrine (Wardley Mapping, Agile transparency, Burner ethos).</w:t>
        <w:br w:type="textWrapping"/>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Equips freebooter communities with habits to resist corporate or state overreach by staying responsive, small‑bet oriented, and emergently adaptive.</w:t>
        <w:br w:type="textWrapping"/>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