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jjqntfdde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Global Northern Statism and the Client/Provider Trap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ev87ldveb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Welfare State as Provider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Postwar welfare states in the global North were built on a social contract: the state would provide education, healthcare, pensions, housing support, and in return, citizens would contribute through work and taxation.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This model lifted millions out of poverty, created stability, and underpinned economic growth.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It entrenched a </w:t>
      </w:r>
      <w:r w:rsidDel="00000000" w:rsidR="00000000" w:rsidRPr="00000000">
        <w:rPr>
          <w:b w:val="1"/>
          <w:bCs w:val="1"/>
          <w:rtl w:val="0"/>
        </w:rPr>
        <w:t xml:space="preserve">provider/client dynamic</w:t>
      </w:r>
      <w:r w:rsidDel="00000000" w:rsidR="00000000" w:rsidRPr="00000000">
        <w:rPr>
          <w:rtl w:val="0"/>
        </w:rPr>
        <w:t xml:space="preserve">. The state was cast as caretaker; citizens as recipients.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2229duls7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Resentment Through Expectations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model breeds resentment in multiple directions: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provision falters</w:t>
      </w:r>
      <w:r w:rsidDel="00000000" w:rsidR="00000000" w:rsidRPr="00000000">
        <w:rPr>
          <w:rtl w:val="0"/>
        </w:rPr>
        <w:t xml:space="preserve">: Under austerity, economic downturn, or bureaucratic failure, citizens feel betrayed. Needs framed as entitlements go unmet, and unmet entitlements breed hostility.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provision is unequal</w:t>
      </w:r>
      <w:r w:rsidDel="00000000" w:rsidR="00000000" w:rsidRPr="00000000">
        <w:rPr>
          <w:rtl w:val="0"/>
        </w:rPr>
        <w:t xml:space="preserve">: Groups that perceive others as receiving “more than their share” — whether migrants, welfare recipients, or different regions — channel resentment into political backlash.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provision infantilises</w:t>
      </w:r>
      <w:r w:rsidDel="00000000" w:rsidR="00000000" w:rsidRPr="00000000">
        <w:rPr>
          <w:rtl w:val="0"/>
        </w:rPr>
        <w:t xml:space="preserve">: Citizens treated as clients rather than co-creators feel disempowered, fostering disengagement or hostility toward institutions.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qy8vwcdu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Political Polarisation as a Byproduct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client/provider framing feeds polarisation: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populist right</w:t>
      </w:r>
      <w:r w:rsidDel="00000000" w:rsidR="00000000" w:rsidRPr="00000000">
        <w:rPr>
          <w:rtl w:val="0"/>
        </w:rPr>
        <w:t xml:space="preserve"> attacks the state as overbearing and unfair, stoking resentment at “others” supposedly favoured by the provider.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liberal centre-left</w:t>
      </w:r>
      <w:r w:rsidDel="00000000" w:rsidR="00000000" w:rsidRPr="00000000">
        <w:rPr>
          <w:rtl w:val="0"/>
        </w:rPr>
        <w:t xml:space="preserve"> defends provision but often doubles down on technocratic paternalism — emphasising competence and fairness, but not co-creation.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radical left</w:t>
      </w:r>
      <w:r w:rsidDel="00000000" w:rsidR="00000000" w:rsidRPr="00000000">
        <w:rPr>
          <w:rtl w:val="0"/>
        </w:rPr>
        <w:t xml:space="preserve"> criticises unmet promises of emancipation, pushing for more provision without changing the underlying relationship.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sides, the state remains “provider,” citizens remain “clients,” and the cycle of unmet expectations persists.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ad42chefs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This Matters for Neo-Freebooters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Neo-Freebooters must avoid replicating this trap.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freebooter commons are perceived as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(of jobs, tools, AI literacy, or resilience), they will be resented the moment their capacity falls short.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appear to distribute unequally, resentment will flow in the same way it does around welfare debates.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centralise too much, they risk infantilising participants, turning them into clients rather than co-creators.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ljwm9vfro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Alternative: The Co-Creator Ethos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Burner lesson offers a counter-model: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Self-reliance first</w:t>
      </w:r>
      <w:r w:rsidDel="00000000" w:rsidR="00000000" w:rsidRPr="00000000">
        <w:rPr>
          <w:rtl w:val="0"/>
        </w:rPr>
        <w:t xml:space="preserve"> — everyone is expected to bring something to the table.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Gifting, not entitlement</w:t>
      </w:r>
      <w:r w:rsidDel="00000000" w:rsidR="00000000" w:rsidRPr="00000000">
        <w:rPr>
          <w:rtl w:val="0"/>
        </w:rPr>
        <w:t xml:space="preserve"> — material spillovers are framed as generosity, not provision.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&amp; participation</w:t>
      </w:r>
      <w:r w:rsidDel="00000000" w:rsidR="00000000" w:rsidRPr="00000000">
        <w:rPr>
          <w:rtl w:val="0"/>
        </w:rPr>
        <w:t xml:space="preserve"> — when trade-offs are visible and collective, criticism doesn’t calcify into betrayal.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frame, resilience is built not by a paternal provider state, but by </w:t>
      </w:r>
      <w:r w:rsidDel="00000000" w:rsidR="00000000" w:rsidRPr="00000000">
        <w:rPr>
          <w:b w:val="1"/>
          <w:bCs w:val="1"/>
          <w:rtl w:val="0"/>
        </w:rPr>
        <w:t xml:space="preserve">distributed co-creators</w:t>
      </w:r>
      <w:r w:rsidDel="00000000" w:rsidR="00000000" w:rsidRPr="00000000">
        <w:rPr>
          <w:rtl w:val="0"/>
        </w:rPr>
        <w:t xml:space="preserve">. The state — or commons institutions — act as facilitators of co-creation, not as caretakers with infinite responsibility.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</w:t>
        <w:br w:type="textWrapping"/>
        <w:t xml:space="preserve"> Modern global northern statism illustrates the limits of the provider/client relationship. It generates resentment when promises falter, when provision is perceived as unfair, or when citizens feel infantilised. For Neo-Freebooters, the key lesson is to reject the provider role altogether: design systems where resilience flows from co-creation, self-reliance, and visible reciprocity, rather than entitlements that inevitably disappoint.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