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limits of technology and the environment are not problems that the Neo-Freebooter framework can “solve.” They are structural conditions of the 21st century: energy constraints, material bottlenecks, monopolisation pressures, and environmental fragility. What the framework </w:t>
      </w:r>
      <w:r w:rsidDel="00000000" w:rsidR="00000000" w:rsidRPr="00000000">
        <w:rPr>
          <w:i w:val="1"/>
          <w:iCs w:val="1"/>
          <w:rtl w:val="0"/>
        </w:rPr>
        <w:t xml:space="preserve">does</w:t>
      </w:r>
      <w:r w:rsidDel="00000000" w:rsidR="00000000" w:rsidRPr="00000000">
        <w:rPr>
          <w:rtl w:val="0"/>
        </w:rPr>
        <w:t xml:space="preserve"> offer is a way of approaching those realities: adaptive, distributed, and clear-eyed rather than utopian.</w:t>
      </w:r>
    </w:p>
    <w:p w:rsidR="00000000" w:rsidDel="00000000" w:rsidP="00000000" w:rsidRDefault="00000000" w:rsidRPr="00000000" w14:paraId="00000002">
      <w:pPr>
        <w:spacing w:after="240" w:before="240" w:lineRule="auto"/>
        <w:rPr/>
      </w:pPr>
      <w:r w:rsidDel="00000000" w:rsidR="00000000" w:rsidRPr="00000000">
        <w:rPr>
          <w:rtl w:val="0"/>
        </w:rPr>
        <w:t xml:space="preserve">A few principles matter here:</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Appropriate Tech, Not Techno-Solutionism.</w:t>
        <w:br w:type="textWrapping"/>
      </w:r>
      <w:r w:rsidDel="00000000" w:rsidR="00000000" w:rsidRPr="00000000">
        <w:rPr>
          <w:rtl w:val="0"/>
        </w:rPr>
        <w:t xml:space="preserve"> Freebooters recognise that not all problems are best addressed with high-tech solutions. Commons-based manufacturing, repair cultures, and hybrid low-/high-tech strategies create resilience. The aim is not to reject advanced tools, but to avoid dependency on fragile supply chains or monopolised platforms when viable alternatives exist.</w:t>
        <w:br w:type="textWrapping"/>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AI Costs and Misperceptions.</w:t>
        <w:br w:type="textWrapping"/>
      </w:r>
      <w:r w:rsidDel="00000000" w:rsidR="00000000" w:rsidRPr="00000000">
        <w:rPr>
          <w:rtl w:val="0"/>
        </w:rPr>
        <w:t xml:space="preserve"> The ecological footprint of AI has been a flashpoint. Hostile commentators, understandably wary of corporate hype, have sometimes exaggerated the environmental cost of large language models. The reality is more complex: training frontier models is resource-intensive, but ordinary use (inference, generation) is orders of magnitude less demanding than popular discourse suggests. Freebooters need to cut through the noise here—acknowledging costs, advocating efficiency, but resisting the narrative that AI is inherently unsustainable.</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Wardley Mapping as Compass.</w:t>
        <w:br w:type="textWrapping"/>
      </w:r>
      <w:r w:rsidDel="00000000" w:rsidR="00000000" w:rsidRPr="00000000">
        <w:rPr>
          <w:rtl w:val="0"/>
        </w:rPr>
        <w:t xml:space="preserve"> Freebooters can use mapping tools to avoid chasing commodities or competing with entrenched incumbents in hyper-industrialised domains. Instead, effort should focus on the “left side” of the map: novel practices, emergent forms of collaboration, and the cultural commons. This isn’t about racing against corporates in compute, but about building new forms of value on top of what they industrialise.</w:t>
        <w:br w:type="textWrapping"/>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Ecology as Boundary Condition.</w:t>
        <w:br w:type="textWrapping"/>
      </w:r>
      <w:r w:rsidDel="00000000" w:rsidR="00000000" w:rsidRPr="00000000">
        <w:rPr>
          <w:rtl w:val="0"/>
        </w:rPr>
        <w:t xml:space="preserve"> All of this unfolds within environmental constraints. The framework doesn’t claim to eliminate those constraints, but it does promote an ethos that faces them honestly: resilience through redundancy, localisation, and careful stewardship of resources.</w:t>
        <w:br w:type="textWrapping"/>
      </w:r>
    </w:p>
    <w:p w:rsidR="00000000" w:rsidDel="00000000" w:rsidP="00000000" w:rsidRDefault="00000000" w:rsidRPr="00000000" w14:paraId="00000007">
      <w:pPr>
        <w:spacing w:after="240" w:before="240" w:lineRule="auto"/>
        <w:rPr/>
      </w:pPr>
      <w:r w:rsidDel="00000000" w:rsidR="00000000" w:rsidRPr="00000000">
        <w:rPr>
          <w:rtl w:val="0"/>
        </w:rPr>
        <w:t xml:space="preserve">In short, technology and environmental limits are real, but they are not reasons to retreat into nihilism or hostility. They are conditions of play. The freebooter response is not denial or techno-utopianism, but agile adaptation, honest literacy about costs, and cultural practices that hedge against brittleness.</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