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m4iv67jqi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Transition Pathways: From Individual Freebooters to Systemic Influence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ynny1i1bk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Individual Freebooter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Starting point</w:t>
      </w:r>
      <w:r w:rsidDel="00000000" w:rsidR="00000000" w:rsidRPr="00000000">
        <w:rPr>
          <w:rtl w:val="0"/>
        </w:rPr>
        <w:t xml:space="preserve">: An individual with a deep skill (craft, coding, farming, teaching) and broad literacy (basic finance, digital platforms, networking).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beekeeper (Jeff Horchoff) or bladesmith (Kyle Royer) leveraging YouTube tutorials, local sales, and commons resources like tool libraries.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Viability test</w:t>
      </w:r>
      <w:r w:rsidDel="00000000" w:rsidR="00000000" w:rsidRPr="00000000">
        <w:rPr>
          <w:rtl w:val="0"/>
        </w:rPr>
        <w:t xml:space="preserve">: Can they generate sufficient livelihood while remaining autonomous from corporate capture?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T-shaped freebooter literacy.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Storytelling/engagement as visibility and reach.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Commons access (tools, knowledge, support).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z4kzbmbw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Proto-Community Formation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Individual freebooters naturally gravitate into </w:t>
      </w:r>
      <w:r w:rsidDel="00000000" w:rsidR="00000000" w:rsidRPr="00000000">
        <w:rPr>
          <w:b w:val="1"/>
          <w:bCs w:val="1"/>
          <w:rtl w:val="0"/>
        </w:rPr>
        <w:t xml:space="preserve">small, reciprocal clusters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Spit It Out in Edinburgh (skill-sharing and mutual education) or collaborations between local artisans and farms.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Shared workshops, co-ops, cultural mediators, informal peer groups.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Viability test</w:t>
      </w:r>
      <w:r w:rsidDel="00000000" w:rsidR="00000000" w:rsidRPr="00000000">
        <w:rPr>
          <w:rtl w:val="0"/>
        </w:rPr>
        <w:t xml:space="preserve">: Does pooling resources reduce individual fragility (e.g., burnout, cost of tools, gaps in skill coverage)?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Reciprocal exchanges and collaboration.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identity (the “we” starts forming).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Commons institutions (tool libraries, co-ops) anchor sustainability.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byrbyz7c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Federated Commons Networks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Proto-communities connect laterally, forming </w:t>
      </w:r>
      <w:r w:rsidDel="00000000" w:rsidR="00000000" w:rsidRPr="00000000">
        <w:rPr>
          <w:b w:val="1"/>
          <w:bCs w:val="1"/>
          <w:rtl w:val="0"/>
        </w:rPr>
        <w:t xml:space="preserve">federations of nodes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SHRUB Coop in Edinburgh linking food rescue, bike repair, and repair workshops with ETL and Lauriston Farm.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Voluntary participation across multiple nodes; individuals and groups link where beneficial.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Viability test</w:t>
      </w:r>
      <w:r w:rsidDel="00000000" w:rsidR="00000000" w:rsidRPr="00000000">
        <w:rPr>
          <w:rtl w:val="0"/>
        </w:rPr>
        <w:t xml:space="preserve">: Can the network handle shocks (e.g., supply disruption, funding gaps) by rerouting through diverse connections?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Stafford Beer’s VSM: diversity + connection = emergent viability.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Reciprocity is voluntary, not mandated.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branding, platforms, and knowledge commons emerge.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vsljih1s1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Systemic Influence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Federated networks begin influencing </w:t>
      </w:r>
      <w:r w:rsidDel="00000000" w:rsidR="00000000" w:rsidRPr="00000000">
        <w:rPr>
          <w:b w:val="1"/>
          <w:bCs w:val="1"/>
          <w:rtl w:val="0"/>
        </w:rPr>
        <w:t xml:space="preserve">markets, policy, and culture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Waterstones’ localized empowerment strategy (corporate adaptation under pressure from community preference).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UK government adoption of lean/agile influenced by grassroots practitioner communities.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Gjenge Makers reframing waste into structural building material, shaping national conversation.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Demonstrating viability attracts legitimacy; institutions, corporates, and states adapt or integrate these models.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Viability test</w:t>
      </w:r>
      <w:r w:rsidDel="00000000" w:rsidR="00000000" w:rsidRPr="00000000">
        <w:rPr>
          <w:rtl w:val="0"/>
        </w:rPr>
        <w:t xml:space="preserve">: Does the network affect the “rules of the game” (policy, regulation, cultural norms, market expectations)?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Emergent political/cultural voice.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Commons models scale by demonstration, not decree.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baseline (reciprocity, sustainability) is preserved under growth.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qzhfrpd26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Pathway Summary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Resilient livelihood via literacy, craft, commons access.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Proto-Community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Shared risk, collaborative identity, commons anchors.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Commons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Voluntary lateral links, emergent resilience.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Influence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Market, cultural, and policy adaptation driven by proven viability.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