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3wapuzrcw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Walkthrough: The Enhanced T-Shaped Freebooter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the T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“At the centre, we have the freebooter. Their identity is anchored by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core skill</w:t>
      </w:r>
      <w:r w:rsidDel="00000000" w:rsidR="00000000" w:rsidRPr="00000000">
        <w:rPr>
          <w:i w:val="1"/>
          <w:iCs w:val="1"/>
          <w:rtl w:val="0"/>
        </w:rPr>
        <w:t xml:space="preserve"> — something they do deeply well, whether that’s craft, coding, farming, repair, or art.”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 to the </w:t>
      </w:r>
      <w:r w:rsidDel="00000000" w:rsidR="00000000" w:rsidRPr="00000000">
        <w:rPr>
          <w:b w:val="1"/>
          <w:bCs w:val="1"/>
          <w:rtl w:val="0"/>
        </w:rPr>
        <w:t xml:space="preserve">vertical bar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“That core skill is what makes them economically viable — the thing they can trade, earn from, or contribute reliably.”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the Horizontal Bar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 to the </w:t>
      </w:r>
      <w:r w:rsidDel="00000000" w:rsidR="00000000" w:rsidRPr="00000000">
        <w:rPr>
          <w:b w:val="1"/>
          <w:bCs w:val="1"/>
          <w:rtl w:val="0"/>
        </w:rPr>
        <w:t xml:space="preserve">horizontal bar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“But they don’t stop there. Around that core, they develop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broad competence</w:t>
      </w:r>
      <w:r w:rsidDel="00000000" w:rsidR="00000000" w:rsidRPr="00000000">
        <w:rPr>
          <w:i w:val="1"/>
          <w:iCs w:val="1"/>
          <w:rtl w:val="0"/>
        </w:rPr>
        <w:t xml:space="preserve">: enough literacy in things like finance, community organising, digital tools, and marketing. They’re not experts in everything, but they know enough to adapt, collaborate, and avoid dependence on middlemen.”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Introduce the Strategic Overlay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 above the T to the </w:t>
      </w:r>
      <w:r w:rsidDel="00000000" w:rsidR="00000000" w:rsidRPr="00000000">
        <w:rPr>
          <w:b w:val="1"/>
          <w:bCs w:val="1"/>
          <w:rtl w:val="0"/>
        </w:rPr>
        <w:t xml:space="preserve">yellow box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“What makes this more than a generalist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strategic overlay</w:t>
      </w:r>
      <w:r w:rsidDel="00000000" w:rsidR="00000000" w:rsidRPr="00000000">
        <w:rPr>
          <w:i w:val="1"/>
          <w:iCs w:val="1"/>
          <w:rtl w:val="0"/>
        </w:rPr>
        <w:t xml:space="preserve">: tools like value stream mapping, user experience research, lean/agile methods, and AI assistance. These are what allow freebooters to confidently navigate markets dominated by giants — not just skittering in niches, but standing as viable competitors through agility and intelligence.”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Bring in the Commons Ecosystem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Sweep to the </w:t>
      </w:r>
      <w:r w:rsidDel="00000000" w:rsidR="00000000" w:rsidRPr="00000000">
        <w:rPr>
          <w:b w:val="1"/>
          <w:bCs w:val="1"/>
          <w:rtl w:val="0"/>
        </w:rPr>
        <w:t xml:space="preserve">blue nodes</w:t>
      </w:r>
      <w:r w:rsidDel="00000000" w:rsidR="00000000" w:rsidRPr="00000000">
        <w:rPr>
          <w:rtl w:val="0"/>
        </w:rPr>
        <w:t xml:space="preserve"> around the T.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“But the freebooter doesn’t stand alone. They are embedded 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commons ecosystem</w:t>
      </w:r>
      <w:r w:rsidDel="00000000" w:rsidR="00000000" w:rsidRPr="00000000">
        <w:rPr>
          <w:i w:val="1"/>
          <w:iCs w:val="1"/>
          <w:rtl w:val="0"/>
        </w:rPr>
        <w:t xml:space="preserve">: tool libraries that lower equipment costs, community farms that share resources, co-ops that provide markets, cultural mediators that open access for new participants. These commons are not landlords extracting rent — they are life-support infrastructure.”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the Loop with Reciprocity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 the arrows from nodes to the T and back.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“The freebooter supports these commons through small contributions — membership, time, skills — and in return, the commons make their independence viable. This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reciprocity loop</w:t>
      </w:r>
      <w:r w:rsidDel="00000000" w:rsidR="00000000" w:rsidRPr="00000000">
        <w:rPr>
          <w:i w:val="1"/>
          <w:iCs w:val="1"/>
          <w:rtl w:val="0"/>
        </w:rPr>
        <w:t xml:space="preserve">: individuals sustain the system, and the system sustains individuals.”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Message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“What we’re looking at is not a utopia but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viable system</w:t>
      </w:r>
      <w:r w:rsidDel="00000000" w:rsidR="00000000" w:rsidRPr="00000000">
        <w:rPr>
          <w:i w:val="1"/>
          <w:iCs w:val="1"/>
          <w:rtl w:val="0"/>
        </w:rPr>
        <w:t xml:space="preserve"> — anchored in individual depth, connected by shared breadth, empowered by strategic tools, and sustained by commons institutions. It’s a model for a class of people to live decently, comfortably, and with dignity, outside corporate capture.”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