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mu7nv7rlg7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Simon Wardley’s decade-long surveys of organisational “phenotypes” offer a useful counterpoint to the hype-driven narrative of AI takeover. His work highlights how new technologies evolve gradually, and how </w:t>
      </w:r>
      <w:r w:rsidDel="00000000" w:rsidR="00000000" w:rsidRPr="00000000">
        <w:rPr>
          <w:b w:val="1"/>
          <w:bCs w:val="1"/>
          <w:rtl w:val="0"/>
        </w:rPr>
        <w:t xml:space="preserve">practices, not hype, define the real shifts</w:t>
      </w:r>
      <w:r w:rsidDel="00000000" w:rsidR="00000000" w:rsidRPr="00000000">
        <w:rPr>
          <w:rtl w:val="0"/>
        </w:rPr>
        <w:t xml:space="preserve"> in organisational capability. These insights integrate directly with the neo-freebooter framework.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uhv2vrqu4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as a Field, Not a Thing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Wardley stresses that AI is not a monolith but a </w:t>
      </w:r>
      <w:r w:rsidDel="00000000" w:rsidR="00000000" w:rsidRPr="00000000">
        <w:rPr>
          <w:b w:val="1"/>
          <w:bCs w:val="1"/>
          <w:rtl w:val="0"/>
        </w:rPr>
        <w:t xml:space="preserve">field with multiple components</w:t>
      </w:r>
      <w:r w:rsidDel="00000000" w:rsidR="00000000" w:rsidRPr="00000000">
        <w:rPr>
          <w:rtl w:val="0"/>
        </w:rPr>
        <w:t xml:space="preserve">. Each component industrialises over time: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From novel “genesis” experiments → to bespoke applications → to productised services → to full commodities.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 each step, </w:t>
      </w:r>
      <w:r w:rsidDel="00000000" w:rsidR="00000000" w:rsidRPr="00000000">
        <w:rPr>
          <w:b w:val="1"/>
          <w:bCs w:val="1"/>
          <w:rtl w:val="0"/>
        </w:rPr>
        <w:t xml:space="preserve">new practices emerge</w:t>
      </w:r>
      <w:r w:rsidDel="00000000" w:rsidR="00000000" w:rsidRPr="00000000">
        <w:rPr>
          <w:rtl w:val="0"/>
        </w:rPr>
        <w:t xml:space="preserve">. These practices—not the technology in isolation—are what transform organisations.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echoes our thesis that </w:t>
      </w:r>
      <w:r w:rsidDel="00000000" w:rsidR="00000000" w:rsidRPr="00000000">
        <w:rPr>
          <w:b w:val="1"/>
          <w:bCs w:val="1"/>
          <w:rtl w:val="0"/>
        </w:rPr>
        <w:t xml:space="preserve">AI collaboration literacy</w:t>
      </w:r>
      <w:r w:rsidDel="00000000" w:rsidR="00000000" w:rsidRPr="00000000">
        <w:rPr>
          <w:rtl w:val="0"/>
        </w:rPr>
        <w:t xml:space="preserve">, not “AI adoption,” is the dividing line for freebooter viability.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8aspctnb7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Practices Over Hype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Wardley’s population studies identify shifts long before they become mainstream. Examples: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2011: </w:t>
      </w:r>
      <w:r w:rsidDel="00000000" w:rsidR="00000000" w:rsidRPr="00000000">
        <w:rPr>
          <w:b w:val="1"/>
          <w:bCs w:val="1"/>
          <w:rtl w:val="0"/>
        </w:rPr>
        <w:t xml:space="preserve">Cell-based structures, continuous deployment, commodity infrastructure.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2021: </w:t>
      </w:r>
      <w:r w:rsidDel="00000000" w:rsidR="00000000" w:rsidRPr="00000000">
        <w:rPr>
          <w:b w:val="1"/>
          <w:bCs w:val="1"/>
          <w:rtl w:val="0"/>
        </w:rPr>
        <w:t xml:space="preserve">Outcome-driven work, swarming orchestration, supply chains as models, AI replacing tasks not jobs.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Each of these sounded implausible at the time but later became accepted best practice. The lesson: </w:t>
      </w:r>
      <w:r w:rsidDel="00000000" w:rsidR="00000000" w:rsidRPr="00000000">
        <w:rPr>
          <w:b w:val="1"/>
          <w:bCs w:val="1"/>
          <w:rtl w:val="0"/>
        </w:rPr>
        <w:t xml:space="preserve">real change arrives as emergent practice, not executive hype.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neo-freebooters, this means value lies in adopting </w:t>
      </w:r>
      <w:r w:rsidDel="00000000" w:rsidR="00000000" w:rsidRPr="00000000">
        <w:rPr>
          <w:b w:val="1"/>
          <w:bCs w:val="1"/>
          <w:rtl w:val="0"/>
        </w:rPr>
        <w:t xml:space="preserve">emergent practices early</w:t>
      </w:r>
      <w:r w:rsidDel="00000000" w:rsidR="00000000" w:rsidRPr="00000000">
        <w:rPr>
          <w:rtl w:val="0"/>
        </w:rPr>
        <w:t xml:space="preserve">, not in chasing whatever “AI solution” is being sold to corporates this quarter.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ymmo8biur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Lag in Social Systems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Wardley observes a 20–30 year lag between cutting-edge practice and mainstream enterprise adoption: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systems change slowly.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Executives learn slowly.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 companies survive by </w:t>
      </w:r>
      <w:r w:rsidDel="00000000" w:rsidR="00000000" w:rsidRPr="00000000">
        <w:rPr>
          <w:b w:val="1"/>
          <w:bCs w:val="1"/>
          <w:rtl w:val="0"/>
        </w:rPr>
        <w:t xml:space="preserve">luck or relative mediocrity</w:t>
      </w:r>
      <w:r w:rsidDel="00000000" w:rsidR="00000000" w:rsidRPr="00000000">
        <w:rPr>
          <w:rtl w:val="0"/>
        </w:rPr>
        <w:t xml:space="preserve"> (the Red Queen effect: “you only need to be as useless as the person standing next to you”).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underscores why </w:t>
      </w:r>
      <w:r w:rsidDel="00000000" w:rsidR="00000000" w:rsidRPr="00000000">
        <w:rPr>
          <w:b w:val="1"/>
          <w:bCs w:val="1"/>
          <w:rtl w:val="0"/>
        </w:rPr>
        <w:t xml:space="preserve">freebooters, with smaller scale and higher agility, can move faster</w:t>
      </w:r>
      <w:r w:rsidDel="00000000" w:rsidR="00000000" w:rsidRPr="00000000">
        <w:rPr>
          <w:rtl w:val="0"/>
        </w:rPr>
        <w:t xml:space="preserve">. They can test, adopt, and normalise new practices years before corporates de-risk them.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y98hcg2hq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Implications for Freebooters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Avoid the hype trap</w:t>
      </w:r>
      <w:r w:rsidDel="00000000" w:rsidR="00000000" w:rsidRPr="00000000">
        <w:rPr>
          <w:rtl w:val="0"/>
        </w:rPr>
        <w:t xml:space="preserve">: Freebooters should not treat AI as a singular “thing” to adopt, but as a </w:t>
      </w:r>
      <w:r w:rsidDel="00000000" w:rsidR="00000000" w:rsidRPr="00000000">
        <w:rPr>
          <w:b w:val="1"/>
          <w:bCs w:val="1"/>
          <w:rtl w:val="0"/>
        </w:rPr>
        <w:t xml:space="preserve">set of evolving tools and practices</w:t>
      </w:r>
      <w:r w:rsidDel="00000000" w:rsidR="00000000" w:rsidRPr="00000000">
        <w:rPr>
          <w:rtl w:val="0"/>
        </w:rPr>
        <w:t xml:space="preserve"> to integrate where useful.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Focus on outcomes, not outputs</w:t>
      </w:r>
      <w:r w:rsidDel="00000000" w:rsidR="00000000" w:rsidRPr="00000000">
        <w:rPr>
          <w:rtl w:val="0"/>
        </w:rPr>
        <w:t xml:space="preserve">: Embedding AI to deliver better results (outcomes) aligns with both agile practice and Burner reciprocity, avoiding the corporate obsession with metrics detached from value.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Experiment with emergent practices</w:t>
      </w:r>
      <w:r w:rsidDel="00000000" w:rsidR="00000000" w:rsidRPr="00000000">
        <w:rPr>
          <w:rtl w:val="0"/>
        </w:rPr>
        <w:t xml:space="preserve">: Swarming, cell-based teams, outcome-orientation, supply chain modelling—these are naturally suited to node-based, commons-oriented systems.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Leverage lag as advantage</w:t>
      </w:r>
      <w:r w:rsidDel="00000000" w:rsidR="00000000" w:rsidRPr="00000000">
        <w:rPr>
          <w:rtl w:val="0"/>
        </w:rPr>
        <w:t xml:space="preserve">: By adopting practices 10–20 years ahead of mainstream enterprises, freebooters position themselves not as competitors in the corporate race but as </w:t>
      </w:r>
      <w:r w:rsidDel="00000000" w:rsidR="00000000" w:rsidRPr="00000000">
        <w:rPr>
          <w:b w:val="1"/>
          <w:bCs w:val="1"/>
          <w:rtl w:val="0"/>
        </w:rPr>
        <w:t xml:space="preserve">niche innovators with resilience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8rvq4ff89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Strategic Alignment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Wardley’s lens supports the strategic overlay in the neo-freebooter thesis: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VSM System 4 (intelligence)</w:t>
      </w:r>
      <w:r w:rsidDel="00000000" w:rsidR="00000000" w:rsidRPr="00000000">
        <w:rPr>
          <w:rtl w:val="0"/>
        </w:rPr>
        <w:t xml:space="preserve"> is strengthened by situational awareness mapping.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trust and transparency</w:t>
      </w:r>
      <w:r w:rsidDel="00000000" w:rsidR="00000000" w:rsidRPr="00000000">
        <w:rPr>
          <w:rtl w:val="0"/>
        </w:rPr>
        <w:t xml:space="preserve"> are reinforced by focusing on outcomes and swarming orchestration.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literacy</w:t>
      </w:r>
      <w:r w:rsidDel="00000000" w:rsidR="00000000" w:rsidRPr="00000000">
        <w:rPr>
          <w:rtl w:val="0"/>
        </w:rPr>
        <w:t xml:space="preserve"> ensures these practices are accessible and replicable beyond isolated actors.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1gh7y89vo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Wardley’s organisational phenotype studies validate a key neo-freebooter principle: </w:t>
      </w:r>
      <w:r w:rsidDel="00000000" w:rsidR="00000000" w:rsidRPr="00000000">
        <w:rPr>
          <w:b w:val="1"/>
          <w:bCs w:val="1"/>
          <w:rtl w:val="0"/>
        </w:rPr>
        <w:t xml:space="preserve">technology matters less than the practices it enables</w:t>
      </w:r>
      <w:r w:rsidDel="00000000" w:rsidR="00000000" w:rsidRPr="00000000">
        <w:rPr>
          <w:rtl w:val="0"/>
        </w:rPr>
        <w:t xml:space="preserve">. The AI hype cycle distracts corporates into posturing, while freebooters can quietly embed the next-generation practices—outcome orientation, swarming orchestration, cell-based organisation—that make resilience real. In this way, the freebooter class can outpace corporate giants not by scale, but by agility and situational awareness.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