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Commons Framework: From Concentration to Community</w:t>
      </w:r>
    </w:p>
    <w:p>
      <w:pPr>
        <w:pStyle w:val="Heading1"/>
      </w:pPr>
      <w:r>
        <w:t>Introduction</w:t>
      </w:r>
    </w:p>
    <w:p>
      <w:r>
        <w:t>The dominant story of our time is one of narrowing possibility. With each new leap in automation, AI, and global platform integration, economic power concentrates further. We are encouraged to imagine a future in which a shrinking technological elite—those with access to capital, proprietary infrastructure, and algorithmic control—command nearly all productive territory. For the rest, precarity and dependency are packaged as flexibility. This trajectory is not just unjust; it is brittle, ecologically destructive, and socially corrosive.</w:t>
      </w:r>
    </w:p>
    <w:p>
      <w:r>
        <w:t>But imagine if it weren’t inevitable.</w:t>
        <w:br/>
        <w:br/>
        <w:t>Imagine if the very technologies often used to centralise power—automation, digital design, networked collaboration—were instead the tools of liberation. Imagine smallholders and freebooters, not just coders and engineers, but farmers, makers, designers, carers, and organisers, equipped to participate meaningfully in production, culture, and governance. Imagine community-scale infrastructures that give resilience rather than extract it.</w:t>
      </w:r>
    </w:p>
    <w:p>
      <w:r>
        <w:t>The tools already exist. Micro-growing systems, open-source fabrication machines, AI copilots for learning and creativity, commons-based governance models like sociocracy—all are here, scattered across projects, collectives, and experiments. They are under-recognised not because they are unproven, but because they lack a unifying frame.</w:t>
      </w:r>
    </w:p>
    <w:p>
      <w:r>
        <w:t>What follows is one such frame: a community model that shows how these elements fit together into a resilient, commons-based economy. From there, with tongue only slightly in cheek, we can scale up the thought experiment: what would it mean for a society, even a state, to take these principles seriously?</w:t>
      </w:r>
    </w:p>
    <w:p>
      <w:pPr>
        <w:pStyle w:val="Heading1"/>
      </w:pPr>
      <w:r>
        <w:t>The Community Model</w:t>
      </w:r>
    </w:p>
    <w:p>
      <w:r>
        <w:t>At the heart of this framework is the community as the primary site of resilience and innovation. Rather than positioning individuals as atomised consumers or workers, the community model treats them as co‑producers embedded in shared infrastructures. These infrastructures may be physical, digital, or cultural, but in every case they operate on the logic of access and stewardship rather than ownership and extraction.</w:t>
      </w:r>
    </w:p>
    <w:p>
      <w:r>
        <w:t>Key components of the community model include:</w:t>
      </w:r>
    </w:p>
    <w:p>
      <w:r>
        <w:t>- **Local Production**: Micro‑growing for food sovereignty, 3D printers and CNC routers for fabrication, renewable energy micro‑grids for power.</w:t>
        <w:br/>
        <w:t>- **Digital Augmentation**: AI tools lowering the barrier to entry for learning, design, and creative work.</w:t>
        <w:br/>
        <w:t>- **Commons Governance**: Sociocracy, holacracy, and agile‑inspired practices for inclusive, adaptive decision‑making.</w:t>
        <w:br/>
        <w:t>- **Value Chain Awareness**: Mapping flows of inputs and outputs to ensure resilience, avoid waste, and strengthen interdependence.</w:t>
        <w:br/>
        <w:t>- **Shared Infrastructure**: Tool libraries, hack/maker spaces, and digital commons for knowledge sharing.</w:t>
        <w:br/>
        <w:t>- **Cultural Practices**: Festivals, rituals, and celebrations that reinforce identity, belonging, and the ethos of generosity.</w:t>
        <w:br/>
        <w:t>- **Community Land Trusts &amp; Registries**: Legal and institutional anchors for long‑term stewardship of land and housing.</w:t>
      </w:r>
    </w:p>
    <w:p>
      <w:r>
        <w:t>Together, these elements create a fabric of mutual support. They ensure that resilience is not outsourced to markets or states alone but cultivated at the scale where people live and relate. Crucially, this does not preclude wider networks; rather, communities become nodes in federated structures that can scale without losing local grounding.</w:t>
      </w:r>
    </w:p>
    <w:p>
      <w:pPr>
        <w:pStyle w:val="Heading1"/>
      </w:pPr>
      <w:r>
        <w:t>The State-Scale Model (Tongue-in-Cheek)</w:t>
      </w:r>
    </w:p>
    <w:p>
      <w:r>
        <w:t>If communities can build resilient commons at a local scale, the natural next question is: what happens if we apply these principles at the scale of a state? While partly playful, this exercise surfaces important possibilities—and tensions—around governance, economics, and culture.</w:t>
      </w:r>
    </w:p>
    <w:p>
      <w:r>
        <w:t>Key extrapolations might look like:</w:t>
      </w:r>
    </w:p>
    <w:p>
      <w:r>
        <w:t>- **Commons-Oriented Infrastructure**: National support for open-source platforms, renewable micro‑grids, and distributed manufacturing.</w:t>
        <w:br/>
        <w:t>- **Participatory Governance**: Elements of sociocracy and deliberative democracy embedded into state institutions, making citizen assemblies a permanent feature rather than a novelty.</w:t>
        <w:br/>
        <w:t>- **Land &amp; Resource Trusts**: Expansion of community land ownership principles to national natural resources, treating forests, watersheds, and minerals as commons held in trust.</w:t>
        <w:br/>
        <w:t>- **Cultural Policy**: Festivals, rituals, and cultural commons supported as infrastructure for belonging and resilience.</w:t>
        <w:br/>
        <w:t>- **Economic Rebalancing**: Tax and regulatory systems designed to privilege cooperative, community, and commons‑based enterprises over extractive corporate monopolies.</w:t>
      </w:r>
    </w:p>
    <w:p>
      <w:r>
        <w:t>The state-scale model is less a literal proposal than an imaginative provocation. It highlights how principles that work at the community level could, in theory, reshape entire economies and polities. The real value lies not in assuming such a model could be implemented wholesale, but in noticing how community experiments might influence policy, inspire legislation, or at the very least, unsettle the inevitability of centralised corporate futures.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