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Commons Institutions and the Enhanced T</w:t>
      </w:r>
    </w:p>
    <w:p>
      <w:r>
        <w:t>The Enhanced T-shaped freebooter model requires support from commons institutions to be accessible and viable. Commons institutions lower barriers, spread costs, and provide environments where skills can be cultivated. Each layer of the T—vertical craft, horizontal breadth, and strategic overlay—maps onto different kinds of commons support.</w:t>
      </w:r>
    </w:p>
    <w:p>
      <w:pPr>
        <w:pStyle w:val="Heading2"/>
      </w:pPr>
      <w:r>
        <w:t>1. Vertical Bar (Deep Craft)</w:t>
      </w:r>
    </w:p>
    <w:p>
      <w:r>
        <w:t>- **Supports**: Apprenticeships, community farms, artisan collectives, makerspaces.</w:t>
        <w:br/>
        <w:t>- **Role**: Provide environments for practicing, passing down, and honing tacit knowledge and embodied skills.</w:t>
        <w:br/>
        <w:t>- **Examples**: Laurieston Farm (farming craft); Brothers Make (fabrication/woodworking craft).</w:t>
      </w:r>
    </w:p>
    <w:p>
      <w:pPr>
        <w:pStyle w:val="Heading2"/>
      </w:pPr>
      <w:r>
        <w:t>2. Horizontal Bar (Broad Competence)</w:t>
      </w:r>
    </w:p>
    <w:p>
      <w:r>
        <w:t>- **Supports**: Tool libraries, co-ops, community training hubs.</w:t>
        <w:br/>
        <w:t>- **Role**: Provide access to ancillary skills such as finance, digital literacy, marketing, and organisational practice.</w:t>
        <w:br/>
        <w:t>- **Examples**: Edinburgh Tool Library lowering entry barriers to DIY/repair; Spit It Out mediating safe skill-sharing spaces.</w:t>
      </w:r>
    </w:p>
    <w:p>
      <w:pPr>
        <w:pStyle w:val="Heading2"/>
      </w:pPr>
      <w:r>
        <w:t>3. Strategic Overlay (Navigation Layer)</w:t>
      </w:r>
    </w:p>
    <w:p>
      <w:r>
        <w:t>- **Supports**: Hack spaces, cooperative incubators, agile/lean meetups, digital commons.</w:t>
        <w:br/>
        <w:t>- **Role**: Provide structured training and experimentation in value stream mapping, UX research, agile facilitation, and AI tools.</w:t>
        <w:br/>
        <w:t>- **Examples**: Project Kamp and Precious Plastic experimenting with distributed organisational models and adaptive processes.</w:t>
      </w:r>
    </w:p>
    <w:p>
      <w:pPr>
        <w:pStyle w:val="Heading2"/>
      </w:pPr>
      <w:r>
        <w:t>4. Cross-Cutting Support</w:t>
      </w:r>
    </w:p>
    <w:p>
      <w:r>
        <w:t>- **Cultural Mediators** (e.g. Spit It Out) lower barriers for underrepresented groups, enabling inclusive participation.</w:t>
        <w:br/>
        <w:t>- **Non-profits** absorb costs and spread risks, ensuring access for those without privilege.</w:t>
        <w:br/>
        <w:t>- These institutions ensure the Enhanced T does not remain an elite aspiration but becomes accessible as a class-wide pattern.</w:t>
      </w:r>
    </w:p>
    <w:p>
      <w:pPr>
        <w:pStyle w:val="Heading2"/>
      </w:pPr>
      <w:r>
        <w:t>Conclusion</w:t>
      </w:r>
    </w:p>
    <w:p>
      <w:r>
        <w:t>Each layer of the Enhanced T finds its support in different commons institutions. Vertical craft is nurtured by spaces of practice, horizontal breadth by access to generalist tools and training, and the strategic overlay by communities experimenting with process and technology. Together, these commons institutions operationalise accessibility and make the Enhanced T viable at 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