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Community-Centred Philosophies and the Commons</w:t>
      </w:r>
    </w:p>
    <w:p>
      <w:r>
        <w:t>While freebooter archetypes and commons infrastructures illustrate structural and economic possibilities, they must be grounded in cultural and psychological philosophies that make such systems desirable and sustainable. Thinkers such as bell hooks, Dan Siegel, Joanna Macy, and Ivan Illich provide insights into the interior and relational dimensions of commons-based life, ensuring that it is not only viable but also nourishing.</w:t>
      </w:r>
    </w:p>
    <w:p>
      <w:pPr>
        <w:pStyle w:val="Heading2"/>
      </w:pPr>
      <w:r>
        <w:t>bell hooks – Love, Community, Liberation</w:t>
      </w:r>
    </w:p>
    <w:p>
      <w:r>
        <w:t>bell hooks argued that love is not a private emotion but an ethic of community and political practice. For hooks, liberation and justice require relationships of care, respect, and mutual responsibility. Applied to the freebooter/commons framework, this means that independence is fragile without love-infused community. Shared infrastructure alone cannot sustain resilience unless underpinned by an ethic of regard for one another.</w:t>
      </w:r>
    </w:p>
    <w:p>
      <w:pPr>
        <w:pStyle w:val="Heading2"/>
      </w:pPr>
      <w:r>
        <w:t>Dan Siegel – Interpersonal Neurobiology</w:t>
      </w:r>
    </w:p>
    <w:p>
      <w:r>
        <w:t>Dan Siegel’s work demonstrates how human well-being arises from integration of mind, body, and relationships. He describes minds as 'interconnected' rather than isolated, with nervous systems regulating through relationships. This offers a neuroscientific basis for why commons are healthier than atomised independence: individuals literally thrive better in cooperative, interdependent contexts than in isolation.</w:t>
      </w:r>
    </w:p>
    <w:p>
      <w:pPr>
        <w:pStyle w:val="Heading2"/>
      </w:pPr>
      <w:r>
        <w:t>Joanna Macy – Active Hope</w:t>
      </w:r>
    </w:p>
    <w:p>
      <w:r>
        <w:t>Joanna Macy emphasises 'Active Hope' as a practice: choosing to orient towards life-affirming possibilities even in the face of despair. Her Work That Reconnects links personal well-being to ecological awareness and collective action. For the commons framework, this highlights the psychological dimension of courage, imagination, and resilience that sustains community practice.</w:t>
      </w:r>
    </w:p>
    <w:p>
      <w:pPr>
        <w:pStyle w:val="Heading2"/>
      </w:pPr>
      <w:r>
        <w:t>Ivan Illich – Tools for Conviviality</w:t>
      </w:r>
    </w:p>
    <w:p>
      <w:r>
        <w:t>Ivan Illich distinguished between tools and institutions that empower ('convivial tools') and those that disempower by enforcing dependency. The commons thrives when infrastructure remains convivial: accessible, shared, and under community control. This provides a conceptual foundation for why tool libraries, co-ops, and shared platforms matter—they preserve autonomy while embedding people in networks of support.</w:t>
      </w:r>
    </w:p>
    <w:p>
      <w:pPr>
        <w:pStyle w:val="Heading2"/>
      </w:pPr>
      <w:r>
        <w:t>Why These Philosophies Matter</w:t>
      </w:r>
    </w:p>
    <w:p>
      <w:r>
        <w:t>Together, these thinkers remind us that the commons is not simply an economic alternative but a cultural and psychological necessity. bell hooks grounds it in love and justice; Siegel in relational neuroscience; Macy in ecological courage; Illich in convivial design. Without these dimensions, freebooter independence risks collapsing into isolation or exploitation. With them, it becomes the basis for a healthier, more human way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