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Competing with Corporate Giants: Agile and Value-Stream Lessons</w:t>
      </w:r>
    </w:p>
    <w:p>
      <w:r>
        <w:t>A compelling narrative of freebooters and commons institutions must answer the viability question: can these actors truly compete with corporate giants, or are they destined to remain marginal? While corporations excel at scale, cost-cutting, and uniformity, small and community-centred actors can thrive by focusing on quality, flexibility, cultural resonance, and local alignment. Agile and value-stream thinking demonstrate how small can beat big when attuned to real needs.</w:t>
      </w:r>
    </w:p>
    <w:p>
      <w:pPr>
        <w:pStyle w:val="Heading2"/>
      </w:pPr>
      <w:r>
        <w:t>1. Waterstones and Local Empowerment</w:t>
      </w:r>
    </w:p>
    <w:p>
      <w:r>
        <w:t>Waterstones, once struggling against Amazon, revived its fortunes by decentralising control. Local managers were empowered to curate stock to reflect their communities. This agile, bottom-up approach created bookshops that felt authentic and locally relevant, building loyalty in ways Amazon's scale could not replicate. The lesson: community connection and responsiveness can offset corporate uniformity.</w:t>
      </w:r>
    </w:p>
    <w:p>
      <w:pPr>
        <w:pStyle w:val="Heading2"/>
      </w:pPr>
      <w:r>
        <w:t>2. Friendly Local Games Stores (FLGS) vs. Geek Retreat</w:t>
      </w:r>
    </w:p>
    <w:p>
      <w:r>
        <w:t>Friendly Local Games Stores succeed when they embed themselves as community hubs—offering play spaces, events, and personal relationships. Geek Retreat, though adopting the same aesthetic, operates on a franchise model with less flexibility and community grounding. Many FLGS thrive where Geek Retreat has struggled, illustrating that genuine community embeddedness outperforms formulaic replication.</w:t>
      </w:r>
    </w:p>
    <w:p>
      <w:pPr>
        <w:pStyle w:val="Heading2"/>
      </w:pPr>
      <w:r>
        <w:t>3. Games Workshop, Wizards of the Coast, and Indie Miniatures/Wargames</w:t>
      </w:r>
    </w:p>
    <w:p>
      <w:r>
        <w:t>Games Workshop and Wizards of the Coast dominate through scale, brand, and intellectual property. Yet a flourishing ecosystem of small-scale miniature providers and indie wargame publishers demonstrates the resilience of diversity. 3D printing enables micro-producers to serve niches at high quality and low cost, while indie rulesets attract players seeking creativity and variety. Corporates set the mainstream, but indies thrive by aligning with community passion.</w:t>
      </w:r>
    </w:p>
    <w:p>
      <w:pPr>
        <w:pStyle w:val="Heading2"/>
      </w:pPr>
      <w:r>
        <w:t>4. Local Eateries vs. Chains</w:t>
      </w:r>
    </w:p>
    <w:p>
      <w:r>
        <w:t>In Edinburgh and many cities, local, small-run eateries often succeed against chain restaurants. Their advantages lie in quality, originality, and alignment with local tastes. Customers perceive them as more authentic, and they can adapt menus and approaches far more quickly than corporate chains. This dynamic mirrors the freebooter advantage: agility, craft, and embeddedness trump scale and standardisation.</w:t>
      </w:r>
    </w:p>
    <w:p>
      <w:pPr>
        <w:pStyle w:val="Heading2"/>
      </w:pPr>
      <w:r>
        <w:t>5. Lessons for Freebooters and Commons Actors</w:t>
      </w:r>
    </w:p>
    <w:p>
      <w:r>
        <w:t>- **Quality and Craft**: High standards and originality build loyalty that scale cannot erase.</w:t>
        <w:br/>
        <w:t>- **Flexibility and Adaptability**: Smaller actors pivot faster in response to community needs.</w:t>
        <w:br/>
        <w:t>- **Community Connection**: Embedding in local culture generates resilience against global competitors.</w:t>
        <w:br/>
        <w:t>- **Technology Leverage**: Digital and fabrication tools lower barriers, enabling small producers to achieve reach once reserved for corporations.</w:t>
      </w:r>
    </w:p>
    <w:p>
      <w:pPr>
        <w:pStyle w:val="Heading2"/>
      </w:pPr>
      <w:r>
        <w:t>Conclusion</w:t>
      </w:r>
    </w:p>
    <w:p>
      <w:r>
        <w:t>Corporations dominate through scale and efficiency, but freebooters and commons actors need not compete on those terms. Their strength lies in out-aligning giants with real human needs, offering quality, diversity, and genuine community engagement. The evidence from Waterstones, FLGS, indie wargames, and local eateries demonstrates that smaller, more connected actors can succeed in markets shaped by corporate power—provided they embrace agility and embed themselves deeply in community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