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Cross-Mapping: YouTube Archetypes and Local Commons Freebooters</w:t>
      </w:r>
    </w:p>
    <w:p>
      <w:r>
        <w:t>The YouTube archetypes of freebooters (Scavenger, Neo-Artisan, Rent-Seeker) find echoes in local Edinburgh initiatives. By cross-mapping these, we can see how fragile, entertainment-driven independence aligns with, and can be stabilised by, commons-based community practices.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Archetype</w:t>
            </w:r>
          </w:p>
        </w:tc>
        <w:tc>
          <w:tcPr>
            <w:tcW w:type="dxa" w:w="2880"/>
          </w:tcPr>
          <w:p>
            <w:r>
              <w:t>YouTube Examples</w:t>
            </w:r>
          </w:p>
        </w:tc>
        <w:tc>
          <w:tcPr>
            <w:tcW w:type="dxa" w:w="2880"/>
          </w:tcPr>
          <w:p>
            <w:r>
              <w:t>Local Commons Examples</w:t>
            </w:r>
          </w:p>
        </w:tc>
      </w:tr>
      <w:tr>
        <w:tc>
          <w:tcPr>
            <w:tcW w:type="dxa" w:w="2880"/>
          </w:tcPr>
          <w:p>
            <w:r>
              <w:t>Scavenger Freebooters</w:t>
            </w:r>
          </w:p>
        </w:tc>
        <w:tc>
          <w:tcPr>
            <w:tcW w:type="dxa" w:w="2880"/>
          </w:tcPr>
          <w:p>
            <w:r>
              <w:t>Mike the Scavenger, Jeebus, Thub</w:t>
            </w:r>
          </w:p>
        </w:tc>
        <w:tc>
          <w:tcPr>
            <w:tcW w:type="dxa" w:w="2880"/>
          </w:tcPr>
          <w:p>
            <w:r>
              <w:t>Rhyze Mushrooms – transforms waste (coffee grounds) into high-value produce; cooperative governance adds resilience</w:t>
            </w:r>
          </w:p>
        </w:tc>
      </w:tr>
      <w:tr>
        <w:tc>
          <w:tcPr>
            <w:tcW w:type="dxa" w:w="2880"/>
          </w:tcPr>
          <w:p>
            <w:r>
              <w:t>Neo-Artisan Freebooters</w:t>
            </w:r>
          </w:p>
        </w:tc>
        <w:tc>
          <w:tcPr>
            <w:tcW w:type="dxa" w:w="2880"/>
          </w:tcPr>
          <w:p>
            <w:r>
              <w:t>Brothers Make, Zorpazorp, Bernadette Banner, Christine McConnell, Laura Kampf, April Wilkerson, Baumgartner Restoration</w:t>
            </w:r>
          </w:p>
        </w:tc>
        <w:tc>
          <w:tcPr>
            <w:tcW w:type="dxa" w:w="2880"/>
          </w:tcPr>
          <w:p>
            <w:r>
              <w:t>The Leith Collective – provides shared infrastructure for artisans, upcyclers, and makers, stabilising their independence</w:t>
            </w:r>
          </w:p>
        </w:tc>
      </w:tr>
      <w:tr>
        <w:tc>
          <w:tcPr>
            <w:tcW w:type="dxa" w:w="2880"/>
          </w:tcPr>
          <w:p>
            <w:r>
              <w:t>Smallholder / Producer Freebooters</w:t>
            </w:r>
          </w:p>
        </w:tc>
        <w:tc>
          <w:tcPr>
            <w:tcW w:type="dxa" w:w="2880"/>
          </w:tcPr>
          <w:p>
            <w:r>
              <w:t>DIY homesteading / maker hybrids (smaller presence on YouTube)</w:t>
            </w:r>
          </w:p>
        </w:tc>
        <w:tc>
          <w:tcPr>
            <w:tcW w:type="dxa" w:w="2880"/>
          </w:tcPr>
          <w:p>
            <w:r>
              <w:t>Laurieston Farm – worker-led regenerative urban farming cooperative, embedding smallholder independence in commons governance</w:t>
            </w:r>
          </w:p>
        </w:tc>
      </w:tr>
      <w:tr>
        <w:tc>
          <w:tcPr>
            <w:tcW w:type="dxa" w:w="2880"/>
          </w:tcPr>
          <w:p>
            <w:r>
              <w:t>Rent-Seeking Freebooters</w:t>
            </w:r>
          </w:p>
        </w:tc>
        <w:tc>
          <w:tcPr>
            <w:tcW w:type="dxa" w:w="2880"/>
          </w:tcPr>
          <w:p>
            <w:r>
              <w:t>Vending/arcade machine operators, laundromat channels</w:t>
            </w:r>
          </w:p>
        </w:tc>
        <w:tc>
          <w:tcPr>
            <w:tcW w:type="dxa" w:w="2880"/>
          </w:tcPr>
          <w:p>
            <w:r>
              <w:t>No direct analogue yet in Edinburgh commons, but potential in co-op laundromats, fab vending, or community-owned infrastructures</w:t>
            </w:r>
          </w:p>
        </w:tc>
      </w:tr>
    </w:tbl>
    <w:p>
      <w:pPr>
        <w:pStyle w:val="Heading2"/>
      </w:pPr>
      <w:r>
        <w:t>Conclusion</w:t>
      </w:r>
    </w:p>
    <w:p>
      <w:r>
        <w:t>This mapping shows that Edinburgh initiatives mirror the same archetypes as YouTube freebooters, but with a crucial difference: local examples are embedded in cooperative and ecological structures. Where YouTube freebooters rely on attention economies, local commons actors rely on shared ownership and use-value. The framework thus bridges entertainment-driven independence and community-driven resilience, highlighting a pathway from fragile proto-class to durable commons economy.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