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Enhanced T and Accessibility</w:t>
      </w:r>
    </w:p>
    <w:p>
      <w:r>
        <w:t>The Enhanced T-shaped freebooter provides a model for individual viability and systemic resilience. Yet developing such a shape is not straightforward. Deep craft requires years of practice, breadth demands openness to learning, and the strategic overlay calls for comfort with abstract tools such as value stream mapping, user experience research, lean/agile practices, and AI. Not everyone has equal access to time, energy, or confidence to achieve this.</w:t>
      </w:r>
    </w:p>
    <w:p>
      <w:pPr>
        <w:pStyle w:val="Heading2"/>
      </w:pPr>
      <w:r>
        <w:t>1. The Challenge</w:t>
      </w:r>
    </w:p>
    <w:p>
      <w:r>
        <w:t>While the Enhanced T offers a powerful framework, its demands can be exclusionary. Those without resources, training, or prior exposure may find it difficult to grow into this shape. Without intervention, the model risks favouring a privileged few rather than forming a viable class.</w:t>
      </w:r>
    </w:p>
    <w:p>
      <w:pPr>
        <w:pStyle w:val="Heading2"/>
      </w:pPr>
      <w:r>
        <w:t>2. The Ethical Imperative</w:t>
      </w:r>
    </w:p>
    <w:p>
      <w:r>
        <w:t>To prevent exclusion, commons institutions must act as enablers. Tool libraries, cultural mediators, co-ops, and community farms lower friction by providing access to equipment, training, networks, and safe spaces. Examples such as Spit It Out in Edinburgh illustrate how mediation and intentional design can help newcomers acquire practical skills and confidence.</w:t>
      </w:r>
    </w:p>
    <w:p>
      <w:pPr>
        <w:pStyle w:val="Heading2"/>
      </w:pPr>
      <w:r>
        <w:t>3. Accessibility as a System Requirement</w:t>
      </w:r>
    </w:p>
    <w:p>
      <w:r>
        <w:t>Stafford Beer’s Viable System Model emphasises that resilience requires diversity. If only a narrow slice of society can become Enhanced T-shaped freebooters, the requisite variety of the system collapses. Ensuring accessibility is not simply an ethical add-on but a structural requirement for viability. Commons institutions play a central role in ensuring that diversity of backgrounds and capacities is maintained.</w:t>
      </w:r>
    </w:p>
    <w:p>
      <w:pPr>
        <w:pStyle w:val="Heading2"/>
      </w:pPr>
      <w:r>
        <w:t>4. Conclusion</w:t>
      </w:r>
    </w:p>
    <w:p>
      <w:r>
        <w:t>The Enhanced T is an ideal pattern for individuals, but it cannot be left to chance. For the freebooter class to be viable, commons institutions must actively lower barriers and spread access to tools, training, and cultural pathways. Accessibility is both an ethical duty and a practical necessity for a resilient system. Only by embedding inclusivity can the Enhanced T move from an individual aspiration to a class-wide reality.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