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Freebooter Community 2030: Analytic Breakdown</w:t>
      </w:r>
    </w:p>
    <w:p>
      <w:r>
        <w:t>This document provides a structured analysis of what an operational freebooter community might look like in 2030. It complements the narrative vignette by breaking the vision into clear domains of economy, commons, culture, technology, and governance.</w:t>
      </w:r>
    </w:p>
    <w:p>
      <w:pPr>
        <w:pStyle w:val="Heading2"/>
      </w:pPr>
      <w:r>
        <w:t>1. Economy</w:t>
      </w:r>
    </w:p>
    <w:p>
      <w:r>
        <w:t>- Individuals earn livelihoods through small-scale, high-quality production and services: repair cafés, local software apps, custom fabrication, agroecology.</w:t>
        <w:br/>
        <w:t>- Revenue streams are diverse: direct sales, cooperative marketplaces, teaching/mentoring, sponsorships.</w:t>
        <w:br/>
        <w:t>- Viability is ensured by reduced costs through commons institutions, not by hyper-profitability.</w:t>
        <w:br/>
        <w:t>- Distinction from gig economy: autonomy, ownership of tools/skills, and embeddedness in commons.</w:t>
      </w:r>
    </w:p>
    <w:p>
      <w:pPr>
        <w:pStyle w:val="Heading2"/>
      </w:pPr>
      <w:r>
        <w:t>2. Commons Infrastructure</w:t>
      </w:r>
    </w:p>
    <w:p>
      <w:r>
        <w:t>- Tool Libraries &amp; Makerspaces: Shared equipment, training, and low-barrier entry into craft and repair.</w:t>
        <w:br/>
        <w:t>- Community Farms &amp; Food Commons: Fresh produce, agroecological training, food resilience.</w:t>
        <w:br/>
        <w:t>- Knowledge Commons: Meetups, online study groups, and open professional networks (e.g., IIBA, Agile meetups).</w:t>
        <w:br/>
        <w:t>- Cultural Mediators: Organisations ensuring inclusivity and lowering participation barriers.</w:t>
        <w:br/>
        <w:t>- Non-Profits: Spread risk, reduce costs, and sustain the baseline of viability.</w:t>
      </w:r>
    </w:p>
    <w:p>
      <w:pPr>
        <w:pStyle w:val="Heading2"/>
      </w:pPr>
      <w:r>
        <w:t>3. Culture and Social Fabric</w:t>
      </w:r>
    </w:p>
    <w:p>
      <w:r>
        <w:t>- Norms of reciprocity, neighbourliness, and fairness are lived daily.</w:t>
        <w:br/>
        <w:t>- Governance via sociocratic circles, preventing hierarchy and burnout.</w:t>
        <w:br/>
        <w:t>- Social glue through events: repair cafés, craft nights, farm open days, and cooperative festivals.</w:t>
        <w:br/>
        <w:t>- Communities are welcoming and accessible; learning is safe and mutual.</w:t>
      </w:r>
    </w:p>
    <w:p>
      <w:pPr>
        <w:pStyle w:val="Heading2"/>
      </w:pPr>
      <w:r>
        <w:t>4. Technology Layer</w:t>
      </w:r>
    </w:p>
    <w:p>
      <w:r>
        <w:t>- AI tools act as amplifiers: drafting proposals, research assistance, prototyping.</w:t>
        <w:br/>
        <w:t>- Distributed manufacturing (3D printers, CNC routers, modular robotics) enables small-scale sophistication.</w:t>
        <w:br/>
        <w:t>- Shared digital platforms: cooperative-run marketplaces and federated networks, not corporate-controlled.</w:t>
        <w:br/>
        <w:t>- Strategic overlay tools (lean/agile, UX, value-stream mapping) treated as modern literacy, widely practiced.</w:t>
      </w:r>
    </w:p>
    <w:p>
      <w:pPr>
        <w:pStyle w:val="Heading2"/>
      </w:pPr>
      <w:r>
        <w:t>5. Governance and Reciprocity</w:t>
      </w:r>
    </w:p>
    <w:p>
      <w:r>
        <w:t>- Governance by sociocracy: distributed decision-making, rotating roles, collaborative circles.</w:t>
        <w:br/>
        <w:t>- Reciprocity is institutionalised: those who use the commons contribute back.</w:t>
        <w:br/>
        <w:t>- Ethical expectation is participation, not extraction.</w:t>
        <w:br/>
        <w:t>- Commons institutions ensure accessibility and equity, preventing elitism.</w:t>
      </w:r>
    </w:p>
    <w:p>
      <w:pPr>
        <w:pStyle w:val="Heading2"/>
      </w:pPr>
      <w:r>
        <w:t>6. Resilience</w:t>
      </w:r>
    </w:p>
    <w:p>
      <w:r>
        <w:t>- Diversity of skills prevents collapse under shocks.</w:t>
        <w:br/>
        <w:t>- Commons institutions redistribute resources during crises.</w:t>
        <w:br/>
        <w:t>- Designed resilience, not accidental survival.</w:t>
        <w:br/>
        <w:t>- Interconnected with other nodes worldwide: resilience grows through networks, not isolation.</w:t>
      </w:r>
    </w:p>
    <w:p>
      <w:pPr>
        <w:pStyle w:val="Heading2"/>
      </w:pPr>
      <w:r>
        <w:t>Conclusion</w:t>
      </w:r>
    </w:p>
    <w:p>
      <w:r>
        <w:t>By 2030, a freebooter community is not utopian but viable: a blend of deep craft, broad competence, and strategic overlay skills, embedded in commons infrastructure and governed by reciprocity. It offers a dignified, resilient alternative to corporate dependency, scalable through networks of communities worldwide.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