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Freebooters vs. the Petit Bourgeoisie</w:t>
      </w:r>
    </w:p>
    <w:p>
      <w:r>
        <w:t>The rise of YouTube freebooters and related independent creators raises a crucial question: are they a distinct new class, or simply an evolution of the traditional petit bourgeoisie? The answer has implications for their stability, political role, and potential alignment with commons-based economies.</w:t>
      </w:r>
    </w:p>
    <w:p>
      <w:pPr>
        <w:pStyle w:val="Heading2"/>
      </w:pPr>
      <w:r>
        <w:t>1. Traditional Petit Bourgeoisie</w:t>
      </w:r>
    </w:p>
    <w:p>
      <w:r>
        <w:t>Historically, the petit bourgeoisie encompassed small business owners, shopkeepers, and tradespeople. They stood between the bourgeoisie (large capital owners) and the proletariat (wage workers). Their independence derived from owning their premises, stock, or equipment. Their survival depended on local monopolies or niches. They often aspired upward toward bourgeois status, but remained vulnerable to debt cycles and competition. Politically, they were unstable: sometimes siding with workers, sometimes with capital.</w:t>
      </w:r>
    </w:p>
    <w:p>
      <w:pPr>
        <w:pStyle w:val="Heading2"/>
      </w:pPr>
      <w:r>
        <w:t>2. Proto-Freebooters Today</w:t>
      </w:r>
    </w:p>
    <w:p>
      <w:r>
        <w:t>Freebooters—scavengers, artisans, and rent-seekers visible on YouTube and similar platforms—share traits with the petit bourgeoisie, but also diverge in important ways.</w:t>
      </w:r>
    </w:p>
    <w:p>
      <w:r>
        <w:t>- **Overlap**: They own their means of production (tools, machines, vending equipment). They are not wage labourers. They rely on markets to survive.</w:t>
        <w:br/>
        <w:t>- **Distinct Features**:</w:t>
        <w:br/>
        <w:t xml:space="preserve">  1. **Platform Dependence**: Their visibility and income rely on algorithms (YouTube, Etsy), not local monopoly or location.</w:t>
        <w:br/>
        <w:t xml:space="preserve">  2. **Narrative / Entertainment Dependency**: They must perform their work as stories. The value is not only in the product, but in its narration.</w:t>
        <w:br/>
        <w:t xml:space="preserve">  3. **Commons Adjacency**: Many use open-source designs, recycled materials, and share knowledge freely.</w:t>
        <w:br/>
        <w:t xml:space="preserve">  4. **Psychological Ethos**: Independence is framed as escape from corporate labour, not upward aspiration into bourgeois respectability.</w:t>
        <w:br/>
        <w:t xml:space="preserve">  5. **Hybrid Income**: Revenue mixes ads, Patreon, sponsorships, and product sales, straddling multiple economic logics.</w:t>
      </w:r>
    </w:p>
    <w:p>
      <w:pPr>
        <w:pStyle w:val="Heading2"/>
      </w:pPr>
      <w:r>
        <w:t>3. Distinct Class or Evolution?</w:t>
      </w:r>
    </w:p>
    <w:p>
      <w:r>
        <w:t>If considered distinct, freebooters form a new intermediary class defined by digital platforms and commons logic. Their legitimacy comes as much from community validation as from profit. They may stabilise as a 'freebooter/smallholder class' within a digital-commons economy.</w:t>
        <w:br/>
        <w:br/>
        <w:t>If considered an evolution, they remain the petit bourgeoisie retooled for the platform age: small producers operating under global, algorithmic marketplaces instead of local ones. History would then suggest instability and co-option.</w:t>
      </w:r>
    </w:p>
    <w:p>
      <w:pPr>
        <w:pStyle w:val="Heading2"/>
      </w:pPr>
      <w:r>
        <w:t>4. Implications</w:t>
      </w:r>
    </w:p>
    <w:p>
      <w:r>
        <w:t>- **If distinct**: They could anchor resilient commons economies, provided they integrate into community value chains.</w:t>
        <w:br/>
        <w:t>- **If evolution**: They risk repeating the petit bourgeois cycle—volatile, squeezed by larger capital, and politically ambivalent. However, unlike their predecessors, they now possess global audiences and commons tools, which may help them resist the old squeeze.</w:t>
      </w:r>
    </w:p>
    <w:p>
      <w:r>
        <w:t>Either way, freebooters matter because they demonstrate that non-proletarian independence is viable again at small scales. Industrial capitalism largely suppressed this space; digital platforms and commons tools have re-opened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