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Friction and Accessibility: The Human Challenge of the Freebooter Commons</w:t>
      </w:r>
    </w:p>
    <w:p>
      <w:r>
        <w:t>The framework of freebooters and commons institutions is not built on radical ethics. The social and ethical principles at its core—reciprocity, community care, resilience through diversity—are values our grandparents lived by. They represent long-standing traditions of solid community thinking that have held true across history. What is new is the technological layer: the demand to pick up new tools, learn new skills, and embrace technologies that can empower small-scale actors. This is where friction arises, and where accessibility becomes an ethical responsibility.</w:t>
      </w:r>
    </w:p>
    <w:p>
      <w:pPr>
        <w:pStyle w:val="Heading2"/>
      </w:pPr>
      <w:r>
        <w:t>1. This Isn’t Radical—It’s Remembered</w:t>
      </w:r>
    </w:p>
    <w:p>
      <w:r>
        <w:t>The ethical base of the freebooter commons is not revolutionary. It echoes principles that were once widespread: be a good neighbour, share resources, reduce waste, and support one another. What feels radical is applying these values in a context dominated by corporate monoculture, where individualism and extraction have become norms.</w:t>
      </w:r>
    </w:p>
    <w:p>
      <w:pPr>
        <w:pStyle w:val="Heading2"/>
      </w:pPr>
      <w:r>
        <w:t>2. Technology as the Gatekeeper</w:t>
      </w:r>
    </w:p>
    <w:p>
      <w:r>
        <w:t>The difficult part of this model is not the ethics but the technology. Not everyone has the same ability, time, or energy to learn CAD, 3D printing, regenerative agriculture, or AI-augmented design. For some, the barriers are financial; for others, psychological or cultural. This technological layer risks excluding those who cannot easily adapt.</w:t>
      </w:r>
    </w:p>
    <w:p>
      <w:pPr>
        <w:pStyle w:val="Heading2"/>
      </w:pPr>
      <w:r>
        <w:t>3. The Corporate Trade-Off</w:t>
      </w:r>
    </w:p>
    <w:p>
      <w:r>
        <w:t>Corporate jobs offered a predictable exchange: known service for known recompense. For many, this predictability outweighed the downsides of exploitation or lack of autonomy. By contrast, the freebooter model offers freedom and community but requires greater skill acquisition and carries more uncertainty. This trade-off will remain difficult for many to navigate.</w:t>
      </w:r>
    </w:p>
    <w:p>
      <w:pPr>
        <w:pStyle w:val="Heading2"/>
      </w:pPr>
      <w:r>
        <w:t>4. Ethical Responsibility: Lowering Barriers</w:t>
      </w:r>
    </w:p>
    <w:p>
      <w:r>
        <w:t>If the freebooter commons is to be viable as a class rather than an elite, barriers to entry must be lowered. This is the ethical responsibility of the system: to make skills and technologies accessible, not gatekept. Commons institutions such as tool libraries, cultural mediators, co-ops, and training hubs are essential. They ensure that independence is not reserved for those already privileged with time, education, or resources.</w:t>
      </w:r>
    </w:p>
    <w:p>
      <w:pPr>
        <w:pStyle w:val="Heading2"/>
      </w:pPr>
      <w:r>
        <w:t>5. Realistic Trajectory</w:t>
      </w:r>
    </w:p>
    <w:p>
      <w:r>
        <w:t>Adoption of the freebooter commons will not be smooth or universal. Some individuals will thrive, others will fail, and many will move between corporate employment and commons-based livelihoods. The aim is not to eliminate friction but to ensure the system is forgiving: that skills are shareable, that entry points are clear, and that failure is not catastrophic. The measure of success is not perfection but reducing exclusion.</w:t>
      </w:r>
    </w:p>
    <w:p>
      <w:pPr>
        <w:pStyle w:val="Heading2"/>
      </w:pPr>
      <w:r>
        <w:t>Conclusion</w:t>
      </w:r>
    </w:p>
    <w:p>
      <w:r>
        <w:t>The social and ethical dimensions of the freebooter commons are familiar and time-tested; the real challenge lies in the technological and skills-based demands. Recognising this, the ethical imperative is to build institutions and practices that lower barriers, spread knowledge, and make participation accessible. Only then can the freebooter commons achieve viability not just for a few, but for a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