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Knowledge Commons and Modern Literacy</w:t>
      </w:r>
    </w:p>
    <w:p>
      <w:r>
        <w:t>In the framing of the Enhanced T as a form of modern literacy, it is essential to identify the institutions and practices that already act as knowledge commons. These networks lower barriers to learning, spread literacy in strategic overlay skills, and provide accessible entry points for individuals.</w:t>
      </w:r>
    </w:p>
    <w:p>
      <w:pPr>
        <w:pStyle w:val="Heading2"/>
      </w:pPr>
      <w:r>
        <w:t>1. Online Resources</w:t>
      </w:r>
    </w:p>
    <w:p>
      <w:r>
        <w:t>Unlike historical literacy, which required formal schools and printing presses, Enhanced T literacy is supported today by a wealth of online resources. Massive Open Online Courses (MOOCs), YouTube channels, open-source frameworks, and community-driven guides provide widespread access to learning materials. While access to devices and connectivity can be unequal, the knowledge itself exists at global scale.</w:t>
      </w:r>
    </w:p>
    <w:p>
      <w:pPr>
        <w:pStyle w:val="Heading2"/>
      </w:pPr>
      <w:r>
        <w:t>2. User Groups and Meetups</w:t>
      </w:r>
    </w:p>
    <w:p>
      <w:r>
        <w:t>In nearly every city, there are user groups and meetups that function as informal, low-barrier learning spaces. Examples include Agile Scotland, Lean Coffee sessions, DevOps meetups, and programming language user groups. These gatherings allow practitioners to share experience, discuss case studies, and learn practical tools. They embody the ethos of commons: open, collaborative, and reciprocal.</w:t>
      </w:r>
    </w:p>
    <w:p>
      <w:pPr>
        <w:pStyle w:val="Heading2"/>
      </w:pPr>
      <w:r>
        <w:t>3. Professional Associations with Open Access</w:t>
      </w:r>
    </w:p>
    <w:p>
      <w:r>
        <w:t>Professional bodies such as the International Institute of Business Analysis (IIBA) provide education and networking without strict membership gatekeeping. They frequently host open events, webinars, and workshops on strategic overlay concepts such as value streams, business agility, and systems thinking. These organisations operate as commons-like knowledge hubs, accessible to individuals beyond traditional corporate or academic boundaries.</w:t>
      </w:r>
    </w:p>
    <w:p>
      <w:pPr>
        <w:pStyle w:val="Heading2"/>
      </w:pPr>
      <w:r>
        <w:t>4. Framing in Commons Terms</w:t>
      </w:r>
    </w:p>
    <w:p>
      <w:r>
        <w:t>These distributed learning spaces—online platforms, local meetups, and professional associations—function as a global knowledge commons. They do not extract rent but instead circulate skills and practices through reciprocity and participation. Just as libraries and schools made literacy accessible in the past, these institutions make modern literacy in Enhanced T skills accessible today. Recognising them as nodes in the wider commons ecosystem helps connect individual freebooters to the resources they need to thrive.</w:t>
      </w:r>
    </w:p>
    <w:p>
      <w:pPr>
        <w:pStyle w:val="Heading2"/>
      </w:pPr>
      <w:r>
        <w:t>Conclusion</w:t>
      </w:r>
    </w:p>
    <w:p>
      <w:r>
        <w:t>The challenge is not to invent new structures from scratch but to identify and connect these existing knowledge nodes. By treating user groups, online resources, and open professional networks as commons institutions, we highlight how modern literacy is already being cultivated—and how it can be amplified to support the viability of the freebooter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