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Local Commons-Aligned Freebooters: Edinburgh Case Studies</w:t>
      </w:r>
    </w:p>
    <w:p>
      <w:r>
        <w:t>While YouTube highlights digital-era freebooters reliant on entertainment platforms, Edinburgh provides on-the-ground examples of similar archetypes rooted in commons practices. These initiatives demonstrate how scavenger, artisan, and smallholder logics can stabilise when embedded in cooperative governance, circular economies, and land stewardship.</w:t>
      </w:r>
    </w:p>
    <w:p>
      <w:pPr>
        <w:pStyle w:val="Heading2"/>
      </w:pPr>
      <w:r>
        <w:t>1. Laurieston Farm (Edinburgh)</w:t>
      </w:r>
    </w:p>
    <w:p>
      <w:r>
        <w:t>Laurieston Farm is a worker-led, cooperative urban farm in Edinburgh. It focuses on regenerative agriculture, community engagement, and sustainable food systems. As a cooperative, decision-making and ownership are shared. This model offers resilience by embedding production in both land and community, positioning it as a commons-based smallholder node within the city.</w:t>
      </w:r>
    </w:p>
    <w:p>
      <w:pPr>
        <w:pStyle w:val="Heading2"/>
      </w:pPr>
      <w:r>
        <w:t>2. The Leith Collective (Edinburgh)</w:t>
      </w:r>
    </w:p>
    <w:p>
      <w:r>
        <w:t>The Leith Collective is a social enterprise marketplace supporting sustainable artists, makers, and upcyclers. It provides retail space, visibility, and a support network for creators who might otherwise struggle to reach audiences. By pooling resources and offering a shared platform, it acts as commons infrastructure for neo-artisan freebooters, transforming individual fragility into collective stability.</w:t>
      </w:r>
    </w:p>
    <w:p>
      <w:pPr>
        <w:pStyle w:val="Heading2"/>
      </w:pPr>
      <w:r>
        <w:t>3. Rhyze Mushrooms (Edinburgh)</w:t>
      </w:r>
    </w:p>
    <w:p>
      <w:r>
        <w:t>Rhyze Mushrooms is a women-led cooperative producing mushrooms from circular substrates such as coffee grounds and local waste streams. It blends scavenger and artisan archetypes: recovering value from waste while cultivating high-quality produce. Operating as a cooperative embeds its work in community structures, aligning production with ecological and social resilience.</w:t>
      </w:r>
    </w:p>
    <w:p>
      <w:pPr>
        <w:pStyle w:val="Heading2"/>
      </w:pPr>
      <w:r>
        <w:t>Why These Matter</w:t>
      </w:r>
    </w:p>
    <w:p>
      <w:r>
        <w:t>Laurieston Farm, the Leith Collective, and Rhyze Mushrooms illustrate that the freebooter ethos is not limited to digital platforms. They embody independence, ingenuity, and resilience, but root these traits in cooperative governance, ecological cycles, and community need. Compared to their YouTube counterparts, these local examples demonstrate how commons-aligned infrastructure can stabilise individual initiative and transform fragile independence into durable community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