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viability of freebooters in 2030 and beyond does not rest on the wholesale replacement of global markets with purely local exchange, nor does it solve poverty and precarity for society as a whole. Instead, it offers a path for some individuals to transition from uncertainty and threat into a more viable position by combining craft, commons, and pluralistic market connections. This framework is about material reciprocity and resilience for participants—not symbolic redistribution or utopian guarantees.</w:t>
      </w:r>
    </w:p>
    <w:p>
      <w:r>
        <w:t>The viability of freebooters in 2030 and beyond does not rest on the wholesale replacement of global markets with purely local exchange. Instead, it relies on navigating a dual-market reality: sustaining dignity and resilience through community-based systems, while also engaging with corporate actors and high-net-worth individuals who provide significant demand and resources.</w:t>
      </w:r>
    </w:p>
    <w:p>
      <w:pPr>
        <w:pStyle w:val="Heading2"/>
      </w:pPr>
      <w:r>
        <w:t>1. The Dual-Market Structure</w:t>
      </w:r>
    </w:p>
    <w:p>
      <w:r>
        <w:t>- **Community Markets**: Local co-ops, barter systems, repair cafés, tool libraries, community farms, and direct-to-neighbour services.</w:t>
        <w:br/>
        <w:t>- **External Markets**: Corporate contracts, wealthy patrons seeking artisanal authenticity, sustainability partnerships, and global online niches.</w:t>
        <w:br/>
        <w:br/>
        <w:t>Community markets provide resilience and dignity. External markets provide prosperity, growth, and access to broader flows of capital and ideas.</w:t>
      </w:r>
    </w:p>
    <w:p>
      <w:pPr>
        <w:pStyle w:val="Heading2"/>
      </w:pPr>
      <w:r>
        <w:t>2. Ethical Navigation as Daily Practice</w:t>
      </w:r>
    </w:p>
    <w:p>
      <w:r>
        <w:t>Freebooters must make constant decisions about what work to take and for whom. Ethical navigation is not a one-time choice but an ongoing practice:</w:t>
        <w:br/>
        <w:t>- Which clients to accept: community co-ops, local councils, corporate actors, or wealthy individuals.</w:t>
        <w:br/>
        <w:t>- What compromises are acceptable: balancing pragmatic income sources with values and long-term goals.</w:t>
        <w:br/>
        <w:t>- How much surplus is reinvested into commons institutions versus retained as private gain.</w:t>
        <w:br/>
        <w:br/>
        <w:t>This navigation requires honesty, reflection, and a supportive cultural environment that acknowledges the inevitability of compromise.</w:t>
      </w:r>
    </w:p>
    <w:p>
      <w:pPr>
        <w:pStyle w:val="Heading2"/>
      </w:pPr>
      <w:r>
        <w:t>3. Community Liberalism</w:t>
      </w:r>
    </w:p>
    <w:p>
      <w:r>
        <w:t>Rigid purity tests are counterproductive. The principle of **community liberalism** recognises that individuals will make different ethical choices about their market engagements. Diversity of approach strengthens the overall ecosystem. The key is reciprocity: as long as individuals give back to the commons, their external engagements do not undermine community viability.</w:t>
        <w:br/>
        <w:br/>
        <w:t>Community liberalism ensures that differences in values or pragmatism do not fracture the system. It is a balance between personal autonomy and collective resilience.</w:t>
      </w:r>
    </w:p>
    <w:p>
      <w:pPr>
        <w:pStyle w:val="Heading2"/>
      </w:pPr>
      <w:r>
        <w:t>4. Complementary Roles of Markets</w:t>
      </w:r>
    </w:p>
    <w:p>
      <w:r>
        <w:t>- **Local systems** provide baseline resilience for participants: access to shared tools, skills, and networks that reduce costs and risks.</w:t>
        <w:br/>
        <w:t>- **External markets** enable prosperity: larger contracts, specialist commissions, and exposure to global flows of capital and ideas.</w:t>
        <w:br/>
        <w:t>- **Commons institutions** act as stabilisers, ensuring reciprocity is material rather than symbolic, and preventing fragmentation into 'pure' versus 'sellout' camps.</w:t>
      </w:r>
    </w:p>
    <w:p>
      <w:pPr>
        <w:pStyle w:val="Heading2"/>
      </w:pPr>
      <w:r>
        <w:t>Conclusion</w:t>
      </w:r>
    </w:p>
    <w:p>
      <w:r>
        <w:t>Freebooters are not separatists, nor are they universal saviours. They are adaptive participants in a mixed economy. Their strength lies in combining community resilience with engagement in wider markets, navigating ethical choices through community liberalism. This does not eliminate poverty or precarity wholesale, but it creates viable pathways for those who engage, sustained by material reciprocity.</w:t>
      </w:r>
    </w:p>
    <w:p>
      <w:pPr>
        <w:pStyle w:val="Heading2"/>
      </w:pPr>
      <w:r>
        <w:t>5. Historical Analogies</w:t>
      </w:r>
    </w:p>
    <w:p>
      <w:r>
        <w:t>- **Medieval Guilds**: Balanced local services (e.g., tailoring, blacksmithing) with wealthy patronage and exports. Support was for members through training, tools, and protection—not universal welfare.</w:t>
        <w:br/>
        <w:br/>
        <w:t>- **Rural Cooperatives**: Farmers pooled equipment and markets to survive price shocks. They improved viability for participants but did not eliminate poverty across rural society.</w:t>
        <w:br/>
        <w:br/>
        <w:t>- **Early Software Communities**: Open-source projects like Linux and Apache created viable commons that empowered contributors, while many others remained dependent on corporate employment. These commons provided material benefits for participants without promising universal security.</w:t>
      </w:r>
    </w:p>
    <w:p>
      <w:pPr>
        <w:pStyle w:val="Heading2"/>
      </w:pPr>
      <w:r>
        <w:t>6. Lessons from the Welfare State</w:t>
      </w:r>
    </w:p>
    <w:p>
      <w:r>
        <w:t>The experience of welfare states provides a useful analogy for the freebooter commons. Welfare systems tend to function well when two conditions hold: everyone contributes, and everyone receives benefits. Under these circumstances, people rarely worry about precise equivalence between input and output.</w:t>
        <w:br/>
        <w:br/>
        <w:t>Problems arise when individuals perceive 'social loafing'—some people taking without contributing—or when contributors feel they are not receiving benefits commensurate with their input. These perceptions undermine trust and willingness to participate.</w:t>
        <w:br/>
        <w:br/>
        <w:t>For freebooters, the lesson is clear: reciprocity must be visible and material. Commons institutions must make contributions and benefits tangible, ensuring that participation is not symbolic but real. As long as this reciprocity is maintained, community liberalism can thrive without being undermined by resentment.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