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Study: Spit It Out (Edinburgh, Defunct Charity)</w:t>
      </w:r>
    </w:p>
    <w:p>
      <w:r>
        <w:t>Spit It Out was a charity in Edinburgh that acted as a cultural mediator between commons institutions such as the Edinburgh Tool Library and Laurieston Farm, and individuals who might not otherwise have accessed them. Though now defunct, its role highlights the importance—and fragility—of institutions that perform the cultural and relational work of connecting people to commons infrastructures.</w:t>
      </w:r>
    </w:p>
    <w:p>
      <w:pPr>
        <w:pStyle w:val="Heading2"/>
      </w:pPr>
      <w:r>
        <w:t>Role and Activities</w:t>
      </w:r>
    </w:p>
    <w:p>
      <w:r>
        <w:t>- Acted as an interface point between commons hubs and the wider community.</w:t>
        <w:br/>
        <w:t>- Organised skill-sharing collaborations, particularly focused on practical and tool-related skills.</w:t>
        <w:br/>
        <w:t>- Created safe spaces for women and marginalised groups to build confidence in areas often dominated by men.</w:t>
        <w:br/>
        <w:t>- Bridged the psychological and cultural barriers to participation, making commons resources more accessible.</w:t>
      </w:r>
    </w:p>
    <w:p>
      <w:pPr>
        <w:pStyle w:val="Heading2"/>
      </w:pPr>
      <w:r>
        <w:t>Why It Mattered</w:t>
      </w:r>
    </w:p>
    <w:p>
      <w:r>
        <w:t>Spit It Out performed a unique function: making commons institutions socially and psychologically accessible. Its work exemplified bell hooks’ ethic of love and inclusion, recognising that skill-sharing must take place in environments that feel safe and welcoming. By lowering the barrier to participation, it expanded the pool of individuals able to benefit from and contribute to commons life.</w:t>
      </w:r>
    </w:p>
    <w:p>
      <w:pPr>
        <w:pStyle w:val="Heading2"/>
      </w:pPr>
      <w:r>
        <w:t>Why It Collapsed</w:t>
      </w:r>
    </w:p>
    <w:p>
      <w:r>
        <w:t>The closure of Spit It Out was not primarily a matter of funding. Instead, it arose from organiser burnout and internal politics. This underscores the structural weakness of many commons initiatives: when they rely heavily on unpaid passion, emotionally demanding labour, and thinly stretched organisers, they become fragile even if their impact is profound.</w:t>
      </w:r>
    </w:p>
    <w:p>
      <w:pPr>
        <w:pStyle w:val="Heading2"/>
      </w:pPr>
      <w:r>
        <w:t>Lesson for the Framework</w:t>
      </w:r>
    </w:p>
    <w:p>
      <w:r>
        <w:t>Spit It Out illustrates the need to recognise 'cultural mediators' as a distinct type of commons institution, alongside producers (e.g., Laurieston Farm), platforms (e.g., Leith Collective), and infrastructures (e.g., Edinburgh Tool Library). For resilience, such mediators require structures that prevent burnout and distribute responsibility—cooperative governance, formal recognition of emotional labour, and sustainable funding models. Without them, access to commons institutions risks remaining limited to those who already feel confident or empowered to participate.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