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Strategic Overlay in Practice</w:t>
      </w:r>
    </w:p>
    <w:p>
      <w:r>
        <w:t>The strategic overlay of the Enhanced T—value stream mapping, user experience research, lean/agile practices, and AI tool use—is not speculative. These approaches have already been proven effective within the Scottish public sector and professional communities. Case studies from Registers of Scotland, broader public sector digital initiatives, and the Lean Agile Scotland community illustrate how these practices work in reality.</w:t>
      </w:r>
    </w:p>
    <w:p>
      <w:pPr>
        <w:pStyle w:val="Heading2"/>
      </w:pPr>
      <w:r>
        <w:t>1. Registers of Scotland (RoS) Digital Transformation</w:t>
      </w:r>
    </w:p>
    <w:p>
      <w:r>
        <w:t>Registers of Scotland undertook a major transformation to replace monolithic legacy systems with a product-centric delivery model. They adopted Value–Flow–Quality (VFQ) frameworks, embedding agile mindsets across delivery teams.</w:t>
        <w:br/>
        <w:br/>
        <w:t>- **Product Domains**: Teams organised around value streams, reducing dependencies and aligning delivery to customer needs.</w:t>
        <w:br/>
        <w:t>- **IT Enablement**: Continuous integration pipelines supported iterative development.</w:t>
        <w:br/>
        <w:t>- **Fail-Fast Culture**: RoS leadership openly embraced iterative learning and adaptive governance.</w:t>
        <w:br/>
        <w:br/>
        <w:t>In their own words: 'We have moved away from long-term predictive planning towards adaptive delivery based on value and learning.' (Source: Government Transformation, RoS Showcase PDF).</w:t>
      </w:r>
    </w:p>
    <w:p>
      <w:pPr>
        <w:pStyle w:val="Heading2"/>
      </w:pPr>
      <w:r>
        <w:t>2. Scottish Public Sector Digital Services</w:t>
      </w:r>
    </w:p>
    <w:p>
      <w:r>
        <w:t>Across Scottish councils and agencies, Audit Scotland reported progress in digital transformation built on lean/agile practices. Key success factors included:</w:t>
        <w:br/>
        <w:t>- **User-focused design**: Co-creation with service users ensured relevance.</w:t>
        <w:br/>
        <w:t>- **Collaborative work culture**: Cross-functional teams reduced silos.</w:t>
        <w:br/>
        <w:t>- **Skills and leadership**: Investment in staff training to spread agile capability.</w:t>
        <w:br/>
        <w:br/>
        <w:t>The Digital Scotland Service Manual documents frameworks for agile delivery, sprint planning, and adaptive governance. These mirror the navigational skills highlighted in the Enhanced T framework.</w:t>
      </w:r>
    </w:p>
    <w:p>
      <w:pPr>
        <w:pStyle w:val="Heading2"/>
      </w:pPr>
      <w:r>
        <w:t>3. Lean Agile Scotland Community</w:t>
      </w:r>
    </w:p>
    <w:p>
      <w:r>
        <w:t>The Lean Agile Scotland conference and related meetups showcase case studies and practices from across sectors. Presentations highlight:</w:t>
        <w:br/>
        <w:t>- Use of lean metrics such as cycle time and throughput to manage value streams.</w:t>
        <w:br/>
        <w:t>- Integration of AI-assisted tools for prototyping, coding, and analysis.</w:t>
        <w:br/>
        <w:t>- Techniques for scaling agile across multiple teams while retaining adaptability.</w:t>
        <w:br/>
        <w:br/>
        <w:t>This community provides a living knowledge commons for strategic overlay practices, accessible to individuals as well as institutions.</w:t>
      </w:r>
    </w:p>
    <w:p>
      <w:pPr>
        <w:pStyle w:val="Heading2"/>
      </w:pPr>
      <w:r>
        <w:t>4. Implications for Freebooters</w:t>
      </w:r>
    </w:p>
    <w:p>
      <w:r>
        <w:t>These case studies demonstrate that the strategic overlay—value streams, UX, lean/agile, AI—is not just theory. It is already in use within large, bureaucratic systems. For freebooters, this suggests two things:</w:t>
        <w:br/>
        <w:t>- **Proven Viability**: If agile and lean practices can work in organisations as complex as RoS or Scottish councils, they are more than sufficient for small-scale freebooters.</w:t>
        <w:br/>
        <w:t>- **Accessible Knowledge**: Because these methods are openly shared (via service manuals, conferences, and blogs), they are available to individuals who wish to adopt them.</w:t>
        <w:br/>
        <w:br/>
        <w:t>This confirms that freebooters equipped with the strategic overlay can navigate markets confidently, matching giants not in scale but in adaptability and intelligence.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