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T-Shaped Freebooter</w:t>
      </w:r>
    </w:p>
    <w:p>
      <w:r>
        <w:t>The concept of the T-shaped professional, common in software and organisational development, can be adapted to the freebooter commons framework. A T-shaped freebooter combines deep expertise in one core area with lighter but competent skills across a range of ancillary fields. This balance of depth and breadth supports both individual viability and systemic resilience.</w:t>
      </w:r>
    </w:p>
    <w:p>
      <w:pPr>
        <w:pStyle w:val="Heading2"/>
      </w:pPr>
      <w:r>
        <w:t>1. Core Strength (The Vertical Bar)</w:t>
      </w:r>
    </w:p>
    <w:p>
      <w:r>
        <w:t>Every freebooter anchors themselves with a strong, distinctive skill: artisan craft, coding, mushroom cultivation, repair, teaching, or storytelling. This vertical depth provides reliability and identity. It is the activity they can do well enough to trade, earn, or contribute consistently.</w:t>
      </w:r>
    </w:p>
    <w:p>
      <w:pPr>
        <w:pStyle w:val="Heading2"/>
      </w:pPr>
      <w:r>
        <w:t>2. Broad Competence (The Horizontal Bar)</w:t>
      </w:r>
    </w:p>
    <w:p>
      <w:r>
        <w:t>Around their core strength, freebooters develop light but competent skills across other domains: accounting, digital literacy, fabrication tools, marketing, community organising, conflict resolution, and more. They need not master these, but they know enough to avoid paralysis and dependence. This breadth enables adaptability, collaboration, and holistic ownership of their work within a community.</w:t>
      </w:r>
    </w:p>
    <w:p>
      <w:pPr>
        <w:pStyle w:val="Heading2"/>
      </w:pPr>
      <w:r>
        <w:t>3. Why This Matters</w:t>
      </w:r>
    </w:p>
    <w:p>
      <w:r>
        <w:t>- **Avoiding Myopia**: A craftsperson who knows only their craft risks dependency on middlemen or corporations. Broader competence allows them to self-market, engage in commons institutions, and adapt to new circumstances.</w:t>
        <w:br/>
        <w:t>- **Systemic Fit**: The T-shape mirrors Stafford Beer’s Viable System Model: strong local autonomy (vertical depth) plus connectivity and feedback (horizontal breadth).</w:t>
        <w:br/>
        <w:t>- **Class-Level Viability**: Not everyone needs to be a polymath, but a class of T-shaped freebooters creates resilience: diverse vertical skills connected by shared horizontal literacy.</w:t>
      </w:r>
    </w:p>
    <w:p>
      <w:pPr>
        <w:pStyle w:val="Heading2"/>
      </w:pPr>
      <w:r>
        <w:t>4. Accessibility and Training Implications</w:t>
      </w:r>
    </w:p>
    <w:p>
      <w:r>
        <w:t>Commons institutions such as tool libraries, cultural mediators, co-ops, and community training hubs are well-positioned to support the development of the horizontal bar. They lower barriers by offering just-enough training in ancillary skills, making participation more accessible without requiring elite mastery. This ensures that freebooters can grow into holistic actors, not isolated specialists.</w:t>
      </w:r>
    </w:p>
    <w:p>
      <w:pPr>
        <w:pStyle w:val="Heading2"/>
      </w:pPr>
      <w:r>
        <w:t>Conclusion</w:t>
      </w:r>
    </w:p>
    <w:p>
      <w:r>
        <w:t>The T-shaped freebooter is not necessarily an ideal to enforce, but a pattern worth recognising. Depth in one area provides stability, while breadth across many areas provides adaptability. Together, these qualities align individual freebooters with the systemic needs of the commons, making the class more resilient and viable.</w:t>
      </w:r>
    </w:p>
    <w:p>
      <w:pPr>
        <w:pStyle w:val="Heading2"/>
      </w:pPr>
      <w:r>
        <w:t>5. The Enhanced T: Strategic Overlay</w:t>
      </w:r>
    </w:p>
    <w:p>
      <w:r>
        <w:t>Beyond the vertical bar of deep skill and the horizontal bar of broad competence, the freebooter framework adds a strategic overlay. These are the skills and tools that enable freebooters not just to survive in niches, but to confidently navigate a world dominated by giants. They represent the difference between precarious independence and systemic viability.</w:t>
      </w:r>
    </w:p>
    <w:p>
      <w:r>
        <w:t>- **Value Stream Mapping**: Ability to see the full flow of value—materials, labour, outcomes—and identify bottlenecks or opportunities. This perspective allows freebooters to optimise and collaborate effectively, elevating them from hobbyists to systemic actors.</w:t>
        <w:br/>
        <w:t>- **User Experience (UX) Research**: Skills in empathising with and understanding users’ needs ensure that what freebooters create remains relevant and resilient. UX grounds production in real demand rather than self-referential effort.</w:t>
        <w:br/>
        <w:t>- **Lean/Agile Practices**: Iteration, feedback loops, and adaptable planning ('good enough for now, safe enough to try') make freebooters responsive to shocks and change. Agility lets them out-manoeuvre slower, larger actors.</w:t>
        <w:br/>
        <w:t>- **AI Tools as Amplifiers**: By offloading cognitive load (writing, analysis, prototyping, customer research), AI reduces the structural advantage of large corporations. This allows freebooters to focus on creativity, decision-making, and relationships.</w:t>
      </w:r>
    </w:p>
    <w:p>
      <w:pPr>
        <w:pStyle w:val="Heading2"/>
      </w:pPr>
      <w:r>
        <w:t>6. Why This Matters</w:t>
      </w:r>
    </w:p>
    <w:p>
      <w:r>
        <w:t>Without this strategic overlay, T-shaped freebooters risk remaining generalists skittering for niches against giants. With it, they become confident navigators who can map value, understand needs, adapt quickly, and leverage technology. This transforms freebooting into a viable class strategy: small but powerful actors connected through commons institutions, competing not by scale, but through adaptability, relevance, and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