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T-Shaped Freebooter as Framework Anchor</w:t>
      </w:r>
    </w:p>
    <w:p>
      <w:r>
        <w:t>The T-shaped freebooter concept anchors the broader framework by connecting individual viability with systemic resilience. It highlights how deep human craft, broad competence, and strategic tools together form a pattern of life that is sustainable, adaptable, and resistant to corporate capture.</w:t>
      </w:r>
    </w:p>
    <w:p>
      <w:pPr>
        <w:pStyle w:val="Heading2"/>
      </w:pPr>
      <w:r>
        <w:t>1. Vertical Bar = Human Craft</w:t>
      </w:r>
    </w:p>
    <w:p>
      <w:r>
        <w:t>At the core of the T is the vertical bar: deep expertise in one area such as woodworking, coding, farming, repair, or storytelling. This is the anchor for identity and livelihood. Crucially, this form of deep craft is not replaceable by AI. Tacit knowledge, embodied practice, creativity, and cultural resonance remain uniquely human. The viability of the freebooter class depends on this depth of skill, which AI cannot replicate.</w:t>
      </w:r>
    </w:p>
    <w:p>
      <w:pPr>
        <w:pStyle w:val="Heading2"/>
      </w:pPr>
      <w:r>
        <w:t>2. Horizontal Bar = Broad Competence</w:t>
      </w:r>
    </w:p>
    <w:p>
      <w:r>
        <w:t>Around their core skill, freebooters develop lighter but competent abilities across other domains: finance, digital literacy, marketing, community organising, and collaboration. These ancillary skills prevent dependency, support holistic ownership, and enable adaptability.</w:t>
      </w:r>
    </w:p>
    <w:p>
      <w:pPr>
        <w:pStyle w:val="Heading2"/>
      </w:pPr>
      <w:r>
        <w:t>3. Strategic Overlay = AI and Agile Tools</w:t>
      </w:r>
    </w:p>
    <w:p>
      <w:r>
        <w:t>Above the T sits the strategic overlay: value stream mapping, user experience research, lean/agile practices, and AI tools. These do not replace the deep craft of the vertical bar but amplify the breadth of the horizontal bar and provide navigation across complex systems. AI’s role is supportive—handling routine analysis, drafting, or prototyping—so that freebooters can focus more energy on their uniquely human craft. This overlay transforms freebooters from niche survivors into confident competitors.</w:t>
      </w:r>
    </w:p>
    <w:p>
      <w:pPr>
        <w:pStyle w:val="Heading2"/>
      </w:pPr>
      <w:r>
        <w:t>4. Commons Embedding and Reciprocity</w:t>
      </w:r>
    </w:p>
    <w:p>
      <w:r>
        <w:t>The T does not stand alone. Freebooters are embedded in commons institutions—tool libraries, co-ops, cultural mediators, and community farms—that provide shared infrastructure, reduce costs, and spread risks. Through reciprocity (membership, contributions of time, skills, and governance), freebooters sustain the very systems that sustain them.</w:t>
      </w:r>
    </w:p>
    <w:p>
      <w:pPr>
        <w:pStyle w:val="Heading2"/>
      </w:pPr>
      <w:r>
        <w:t>5. Systemic Fit (VSM)</w:t>
      </w:r>
    </w:p>
    <w:p>
      <w:r>
        <w:t>This model aligns with Stafford Beer’s Viable System Model. Human depth corresponds to local autonomy (vertical bar), breadth and AI support correspond to connectivity (horizontal bar and overlay), and commons institutions provide coordination and intelligence. Together, they create emergent resilience: a system capable of adapting to shocks rather than collapsing under them.</w:t>
      </w:r>
    </w:p>
    <w:p>
      <w:pPr>
        <w:pStyle w:val="Heading2"/>
      </w:pPr>
      <w:r>
        <w:t>6. Contrast with Gig Culture</w:t>
      </w:r>
    </w:p>
    <w:p>
      <w:r>
        <w:t>Gig workers offer commodified time and assets under corporate control—functions that are easily automated or replaced. In contrast, freebooters endure because their deep craft remains uniquely human, while their breadth and strategic overlay give them adaptability. This distinction marks the line between pseudo-independence and genuine autonomy.</w:t>
      </w:r>
    </w:p>
    <w:p>
      <w:pPr>
        <w:pStyle w:val="Heading2"/>
      </w:pPr>
      <w:r>
        <w:t>7. Competing with Giants</w:t>
      </w:r>
    </w:p>
    <w:p>
      <w:r>
        <w:t>Corporations compete through scale, efficiency, and uniformity. Freebooters compete through depth, agility, and community connection. Authenticity and responsiveness give them an advantage corporations struggle to replicate. The Enhanced T makes freebooters viable as a class: small but powerful actors capable of navigating, not merely surviving, in a world dominated by giants.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