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Stafford Beer’s Viable System Model and the Freebooter Commons</w:t>
      </w:r>
    </w:p>
    <w:p>
      <w:r>
        <w:t>Stafford Beer’s Viable System Model (VSM) provides a systems theory framework for understanding resilience in organisations and societies. A system is considered viable if it can survive in a changing environment. This requires two key ingredients: diversity (requisite variety to match external challenges) and connection (information flows and coordination mechanisms). VSM also emphasises that viability often emerges from local autonomy combined with systemic feedback, rather than from rigid central planning.</w:t>
      </w:r>
    </w:p>
    <w:p>
      <w:pPr>
        <w:pStyle w:val="Heading2"/>
      </w:pPr>
      <w:r>
        <w:t>1. Diversity as Strength</w:t>
      </w:r>
    </w:p>
    <w:p>
      <w:r>
        <w:t>The freebooter and commons ecosystem is inherently diverse: scavengers, artisans, smallholders, coders, cultural mediators, and more. This heterogeneity provides the 'requisite variety' to respond to shocks such as supply chain failures, market volatility, or technological disruption. Each archetype contributes different capacities, creating resilience through multiplicity.</w:t>
      </w:r>
    </w:p>
    <w:p>
      <w:pPr>
        <w:pStyle w:val="Heading2"/>
      </w:pPr>
      <w:r>
        <w:t>2. Connection via Commons Institutions</w:t>
      </w:r>
    </w:p>
    <w:p>
      <w:r>
        <w:t>Commons institutions—tool libraries, cultural mediators, co-ops, community farms—function as connective tissue within the system. They ensure that knowledge, resources, and support circulate rather than remaining siloed. These institutions act as information and resource channels, enabling distributed actors to act in coordination when needed.</w:t>
      </w:r>
    </w:p>
    <w:p>
      <w:pPr>
        <w:pStyle w:val="Heading2"/>
      </w:pPr>
      <w:r>
        <w:t>3. Emergent Viability</w:t>
      </w:r>
    </w:p>
    <w:p>
      <w:r>
        <w:t>Viability in this system does not depend on centralised planning or top-down control. Like ecosystems, resilience emerges when many autonomous actors pursue their own goals while feeding back into shared infrastructures. This bottom-up emergence mirrors Beer’s observation that viable systems are adaptive, flexible, and self-organising.</w:t>
      </w:r>
    </w:p>
    <w:p>
      <w:pPr>
        <w:pStyle w:val="Heading2"/>
      </w:pPr>
      <w:r>
        <w:t>4. Shock Absorption</w:t>
      </w:r>
    </w:p>
    <w:p>
      <w:r>
        <w:t>Corporate monocultures tend to optimise for efficiency, standardisation, and scale. While effective in stable environments, they become brittle under stress and vulnerable to shocks. In contrast, freebooter and commons systems optimise for adaptability. They may be slower to scale, but their diversity and interconnection make them far harder to collapse.</w:t>
      </w:r>
    </w:p>
    <w:p>
      <w:pPr>
        <w:pStyle w:val="Heading2"/>
      </w:pPr>
      <w:r>
        <w:t>5. Lesson</w:t>
      </w:r>
    </w:p>
    <w:p>
      <w:r>
        <w:t>The freebooter + commons model aligns closely with the logic of the Viable System Model. Its viability derives not from uniformity or dominance, but from diversity, connection, and emergent coordination. This suggests that far from being utopian, the freebooter commons represents a structurally resilient alternative to corporate monocultures.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