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sz w:val="32"/>
          <w:szCs w:val="32"/>
        </w:rPr>
        <w:t xml:space="preserve">gBlock Consensus Design — Project Summary &amp; Wet Lab Status</w:t>
      </w:r>
    </w:p>
    <w:p>
      <w:pPr>
        <w:spacing w:after="300"/>
      </w:pPr>
      <w:r>
        <w:rPr>
          <w:rFonts w:ascii="Calibri" w:cs="Calibri" w:eastAsia="Calibri" w:hAnsi="Calibri"/>
          <w:i/>
          <w:iCs/>
          <w:color w:val="555555"/>
          <w:sz w:val="22"/>
          <w:szCs w:val="22"/>
        </w:rPr>
        <w:t xml:space="preserve">Poultry litter nitrogen-cycle gene targets — DeQueen dataset</w:t>
      </w:r>
    </w:p>
    <w:p>
      <w:pPr>
        <w:pStyle w:val="Heading1"/>
        <w:spacing w:after="150" w:before="300"/>
      </w:pPr>
      <w:r>
        <w:t xml:space="preserve">What This Project Did</w:t>
      </w:r>
    </w:p>
    <w:p>
      <w:pPr>
        <w:spacing w:after="160"/>
      </w:pPr>
      <w:r>
        <w:rPr>
          <w:rFonts w:ascii="Calibri" w:cs="Calibri" w:eastAsia="Calibri" w:hAnsi="Calibri"/>
          <w:b w:val="false"/>
          <w:bCs w:val="false"/>
          <w:i w:val="false"/>
          <w:iCs w:val="false"/>
          <w:sz w:val="22"/>
          <w:szCs w:val="22"/>
        </w:rPr>
        <w:t xml:space="preserve">This project designs short reference DNA sequences ("gBlocks") to use as positive controls in a lab test (digital PCR) that measures nitrogen-cycle gene activity in poultry litter bacteria. Seven genes were targeted, spanning ammonification, nitrification, and denitrification. Because a single primer pair needs to work broadly across many different bacteria, each gBlock had to be built from a sequence that fairly represents the real mix of bacteria in litter — not just one convenient reference organism.</w:t>
      </w:r>
    </w:p>
    <w:p>
      <w:pPr>
        <w:spacing w:after="160"/>
      </w:pPr>
      <w:r>
        <w:rPr>
          <w:rFonts w:ascii="Calibri" w:cs="Calibri" w:eastAsia="Calibri" w:hAnsi="Calibri"/>
          <w:b w:val="false"/>
          <w:bCs w:val="false"/>
          <w:i w:val="false"/>
          <w:iCs w:val="false"/>
          <w:sz w:val="22"/>
          <w:szCs w:val="22"/>
        </w:rPr>
        <w:t xml:space="preserve">For each gene, the same overall process was used:</w:t>
      </w:r>
    </w:p>
    <w:p>
      <w:pPr>
        <w:pStyle w:val="ListParagraph"/>
        <w:numPr>
          <w:ilvl w:val="0"/>
          <w:numId w:val="1"/>
        </w:numPr>
        <w:spacing w:after="100"/>
      </w:pPr>
      <w:r>
        <w:rPr>
          <w:rFonts w:ascii="Calibri" w:cs="Calibri" w:eastAsia="Calibri" w:hAnsi="Calibri"/>
          <w:sz w:val="22"/>
          <w:szCs w:val="22"/>
        </w:rPr>
        <w:t xml:space="preserve">1. Screened all ~1,584 reference bacteria (the "DeQueen" dataset) to find which ones actually carry the target gene.</w:t>
      </w:r>
    </w:p>
    <w:p>
      <w:pPr>
        <w:pStyle w:val="ListParagraph"/>
        <w:numPr>
          <w:ilvl w:val="0"/>
          <w:numId w:val="1"/>
        </w:numPr>
        <w:spacing w:after="100"/>
      </w:pPr>
      <w:r>
        <w:rPr>
          <w:rFonts w:ascii="Calibri" w:cs="Calibri" w:eastAsia="Calibri" w:hAnsi="Calibri"/>
          <w:sz w:val="22"/>
          <w:szCs w:val="22"/>
        </w:rPr>
        <w:t xml:space="preserve">2. Pulled the real DNA sequence for that gene from every bacterium confirmed to carry it.</w:t>
      </w:r>
    </w:p>
    <w:p>
      <w:pPr>
        <w:pStyle w:val="ListParagraph"/>
        <w:numPr>
          <w:ilvl w:val="0"/>
          <w:numId w:val="1"/>
        </w:numPr>
        <w:spacing w:after="100"/>
      </w:pPr>
      <w:r>
        <w:rPr>
          <w:rFonts w:ascii="Calibri" w:cs="Calibri" w:eastAsia="Calibri" w:hAnsi="Calibri"/>
          <w:sz w:val="22"/>
          <w:szCs w:val="22"/>
        </w:rPr>
        <w:t xml:space="preserve">3. Lined those sequences up together and located the exact stretch the lab's primers are meant to bind.</w:t>
      </w:r>
    </w:p>
    <w:p>
      <w:pPr>
        <w:pStyle w:val="ListParagraph"/>
        <w:numPr>
          <w:ilvl w:val="0"/>
          <w:numId w:val="1"/>
        </w:numPr>
        <w:spacing w:after="100"/>
      </w:pPr>
      <w:r>
        <w:rPr>
          <w:rFonts w:ascii="Calibri" w:cs="Calibri" w:eastAsia="Calibri" w:hAnsi="Calibri"/>
          <w:sz w:val="22"/>
          <w:szCs w:val="22"/>
        </w:rPr>
        <w:t xml:space="preserve">4. Built one "typical" (consensus) sequence from whichever real bacteria could be reliably compared, and double-checked that it still matches the original primers.</w:t>
      </w:r>
    </w:p>
    <w:p>
      <w:pPr>
        <w:spacing w:after="160"/>
      </w:pPr>
      <w:r>
        <w:rPr>
          <w:rFonts w:ascii="Calibri" w:cs="Calibri" w:eastAsia="Calibri" w:hAnsi="Calibri"/>
          <w:b w:val="false"/>
          <w:bCs w:val="false"/>
          <w:i w:val="false"/>
          <w:iCs w:val="false"/>
          <w:sz w:val="22"/>
          <w:szCs w:val="22"/>
        </w:rPr>
        <w:t xml:space="preserve">This worked cleanly for ureC (538 bacteria) and, at a much smaller scale, for nirS (2 bacteria). For the other five genes, the process hit real, well-documented limits — either too few bacteria carry the gene, the gene's DNA sequence varies too much across species for the standard method to confidently find the right stretch, or (for one gene, amoA/AOA) the reference bacteria list doesn't include the right kind of organism at all. None of these are computer errors — they're genuine findings about the underlying biology and reference data, detailed further below. Along the way, two real technical bugs were also found and fixed (a search-engine quirk that was silently hiding true results for two genes, and a primer-matching bug that only affected genes with flexible/degenerate primers) — both are documented in the project's technical records.</w:t>
      </w:r>
    </w:p>
    <w:p>
      <w:pPr>
        <w:pBdr>
          <w:bottom w:val="single" w:color="AAAAAA" w:sz="6" w:space="1"/>
        </w:pBdr>
        <w:spacing w:after="200"/>
      </w:pPr>
    </w:p>
    <w:p>
      <w:pPr>
        <w:pStyle w:val="Heading1"/>
        <w:spacing w:after="150" w:before="300"/>
      </w:pPr>
      <w:r>
        <w:t xml:space="preserve">Status at a Glance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620"/>
        <w:gridCol w:w="1800"/>
        <w:gridCol w:w="5040"/>
        <w:gridCol w:w="1980"/>
        <w:gridCol w:w="3600"/>
      </w:tblGrid>
      <w:tr>
        <w:trPr>
          <w:tblHeader/>
        </w:trPr>
        <w:tc>
          <w:tcPr>
            <w:tcW w:type="dxa" w:w="1620"/>
            <w:shd w:fill="1F4E78" w:val="clear"/>
          </w:tcPr>
          <w:p>
            <w:r>
              <w:rPr>
                <w:rFonts w:ascii="Calibri" w:cs="Calibri" w:eastAsia="Calibri" w:hAnsi="Calibri"/>
                <w:b/>
                <w:bCs/>
                <w:color w:val="FFFFFF"/>
                <w:sz w:val="20"/>
                <w:szCs w:val="20"/>
              </w:rPr>
              <w:t xml:space="preserve">Gene target</w:t>
            </w:r>
          </w:p>
        </w:tc>
        <w:tc>
          <w:tcPr>
            <w:tcW w:type="dxa" w:w="1800"/>
            <w:shd w:fill="1F4E78" w:val="clear"/>
          </w:tcPr>
          <w:p>
            <w:r>
              <w:rPr>
                <w:rFonts w:ascii="Calibri" w:cs="Calibri" w:eastAsia="Calibri" w:hAnsi="Calibri"/>
                <w:b/>
                <w:bCs/>
                <w:color w:val="FFFFFF"/>
                <w:sz w:val="20"/>
                <w:szCs w:val="20"/>
              </w:rPr>
              <w:t xml:space="preserve">Status</w:t>
            </w:r>
          </w:p>
        </w:tc>
        <w:tc>
          <w:tcPr>
            <w:tcW w:type="dxa" w:w="5040"/>
            <w:shd w:fill="1F4E78" w:val="clear"/>
          </w:tcPr>
          <w:p>
            <w:r>
              <w:rPr>
                <w:rFonts w:ascii="Calibri" w:cs="Calibri" w:eastAsia="Calibri" w:hAnsi="Calibri"/>
                <w:b/>
                <w:bCs/>
                <w:color w:val="FFFFFF"/>
                <w:sz w:val="20"/>
                <w:szCs w:val="20"/>
              </w:rPr>
              <w:t xml:space="preserve">What this means</w:t>
            </w:r>
          </w:p>
        </w:tc>
        <w:tc>
          <w:tcPr>
            <w:tcW w:type="dxa" w:w="1980"/>
            <w:shd w:fill="1F4E78" w:val="clear"/>
          </w:tcPr>
          <w:p>
            <w:r>
              <w:rPr>
                <w:rFonts w:ascii="Calibri" w:cs="Calibri" w:eastAsia="Calibri" w:hAnsi="Calibri"/>
                <w:b/>
                <w:bCs/>
                <w:color w:val="FFFFFF"/>
                <w:sz w:val="20"/>
                <w:szCs w:val="20"/>
              </w:rPr>
              <w:t xml:space="preserve">Species behind it</w:t>
            </w:r>
          </w:p>
        </w:tc>
        <w:tc>
          <w:tcPr>
            <w:tcW w:type="dxa" w:w="3600"/>
            <w:shd w:fill="1F4E78" w:val="clear"/>
          </w:tcPr>
          <w:p>
            <w:r>
              <w:rPr>
                <w:rFonts w:ascii="Calibri" w:cs="Calibri" w:eastAsia="Calibri" w:hAnsi="Calibri"/>
                <w:b/>
                <w:bCs/>
                <w:color w:val="FFFFFF"/>
                <w:sz w:val="20"/>
                <w:szCs w:val="20"/>
              </w:rPr>
              <w:t xml:space="preserve">Next step</w:t>
            </w:r>
          </w:p>
        </w:tc>
      </w:tr>
      <w:tr>
        <w:tc>
          <w:tcPr>
            <w:tcW w:type="dxa" w:w="1620"/>
          </w:tcPr>
          <w:p>
            <w:r>
              <w:rPr>
                <w:rFonts w:ascii="Calibri" w:cs="Calibri" w:eastAsia="Calibri" w:hAnsi="Calibri"/>
                <w:b/>
                <w:bCs/>
                <w:sz w:val="20"/>
                <w:szCs w:val="20"/>
              </w:rPr>
              <w:t xml:space="preserve">ureC</w:t>
            </w:r>
          </w:p>
        </w:tc>
        <w:tc>
          <w:tcPr>
            <w:tcW w:type="dxa" w:w="1800"/>
            <w:shd w:fill="D9EAD3" w:val="clear"/>
          </w:tcPr>
          <w:p>
            <w:r>
              <w:rPr>
                <w:rFonts w:ascii="Calibri" w:cs="Calibri" w:eastAsia="Calibri" w:hAnsi="Calibri"/>
                <w:b/>
                <w:bCs/>
                <w:sz w:val="20"/>
                <w:szCs w:val="20"/>
              </w:rPr>
              <w:t xml:space="preserve">Ready to order</w:t>
            </w:r>
          </w:p>
        </w:tc>
        <w:tc>
          <w:tcPr>
            <w:tcW w:type="dxa" w:w="5040"/>
          </w:tcPr>
          <w:p>
            <w:r>
              <w:rPr>
                <w:rFonts w:ascii="Calibri" w:cs="Calibri" w:eastAsia="Calibri" w:hAnsi="Calibri"/>
                <w:sz w:val="19"/>
                <w:szCs w:val="19"/>
              </w:rPr>
              <w:t xml:space="preserve">A finished candidate sequence, checked against the lab's primers and against a large, representative set of real bacteria. Two spots in the sequence are flagged for a quick expert double-check before ordering.</w:t>
            </w:r>
          </w:p>
        </w:tc>
        <w:tc>
          <w:tcPr>
            <w:tcW w:type="dxa" w:w="1980"/>
          </w:tcPr>
          <w:p>
            <w:r>
              <w:rPr>
                <w:rFonts w:ascii="Calibri" w:cs="Calibri" w:eastAsia="Calibri" w:hAnsi="Calibri"/>
                <w:sz w:val="19"/>
                <w:szCs w:val="19"/>
              </w:rPr>
              <w:t xml:space="preserve">538 species</w:t>
            </w:r>
          </w:p>
        </w:tc>
        <w:tc>
          <w:tcPr>
            <w:tcW w:type="dxa" w:w="3600"/>
          </w:tcPr>
          <w:p>
            <w:r>
              <w:rPr>
                <w:rFonts w:ascii="Calibri" w:cs="Calibri" w:eastAsia="Calibri" w:hAnsi="Calibri"/>
                <w:sz w:val="19"/>
                <w:szCs w:val="19"/>
              </w:rPr>
              <w:t xml:space="preserve">Confirm the two flagged spots, then send to synthesis.</w:t>
            </w:r>
          </w:p>
        </w:tc>
      </w:tr>
      <w:tr>
        <w:tc>
          <w:tcPr>
            <w:tcW w:type="dxa" w:w="1620"/>
          </w:tcPr>
          <w:p>
            <w:r>
              <w:rPr>
                <w:rFonts w:ascii="Calibri" w:cs="Calibri" w:eastAsia="Calibri" w:hAnsi="Calibri"/>
                <w:b/>
                <w:bCs/>
                <w:sz w:val="20"/>
                <w:szCs w:val="20"/>
              </w:rPr>
              <w:t xml:space="preserve">nirS</w:t>
            </w:r>
          </w:p>
        </w:tc>
        <w:tc>
          <w:tcPr>
            <w:tcW w:type="dxa" w:w="1800"/>
            <w:shd w:fill="FFF2CC" w:val="clear"/>
          </w:tcPr>
          <w:p>
            <w:r>
              <w:rPr>
                <w:rFonts w:ascii="Calibri" w:cs="Calibri" w:eastAsia="Calibri" w:hAnsi="Calibri"/>
                <w:b/>
                <w:bCs/>
                <w:sz w:val="20"/>
                <w:szCs w:val="20"/>
              </w:rPr>
              <w:t xml:space="preserve">Usable, but thin</w:t>
            </w:r>
          </w:p>
        </w:tc>
        <w:tc>
          <w:tcPr>
            <w:tcW w:type="dxa" w:w="5040"/>
          </w:tcPr>
          <w:p>
            <w:r>
              <w:rPr>
                <w:rFonts w:ascii="Calibri" w:cs="Calibri" w:eastAsia="Calibri" w:hAnsi="Calibri"/>
                <w:sz w:val="19"/>
                <w:szCs w:val="19"/>
              </w:rPr>
              <w:t xml:space="preserve">A candidate sequence exists and passes the primer check, but it's built from only 2 real bacteria because this gene is genuinely rare in this bacterial community. Treat as a working draft.</w:t>
            </w:r>
          </w:p>
        </w:tc>
        <w:tc>
          <w:tcPr>
            <w:tcW w:type="dxa" w:w="1980"/>
          </w:tcPr>
          <w:p>
            <w:r>
              <w:rPr>
                <w:rFonts w:ascii="Calibri" w:cs="Calibri" w:eastAsia="Calibri" w:hAnsi="Calibri"/>
                <w:sz w:val="19"/>
                <w:szCs w:val="19"/>
              </w:rPr>
              <w:t xml:space="preserve">2 species</w:t>
            </w:r>
          </w:p>
        </w:tc>
        <w:tc>
          <w:tcPr>
            <w:tcW w:type="dxa" w:w="3600"/>
          </w:tcPr>
          <w:p>
            <w:r>
              <w:rPr>
                <w:rFonts w:ascii="Calibri" w:cs="Calibri" w:eastAsia="Calibri" w:hAnsi="Calibri"/>
                <w:sz w:val="19"/>
                <w:szCs w:val="19"/>
              </w:rPr>
              <w:t xml:space="preserve">Decide whether 2 species is enough evidence to proceed, or look for more reference data first.</w:t>
            </w:r>
          </w:p>
        </w:tc>
      </w:tr>
      <w:tr>
        <w:tc>
          <w:tcPr>
            <w:tcW w:type="dxa" w:w="1620"/>
          </w:tcPr>
          <w:p>
            <w:r>
              <w:rPr>
                <w:rFonts w:ascii="Calibri" w:cs="Calibri" w:eastAsia="Calibri" w:hAnsi="Calibri"/>
                <w:b/>
                <w:bCs/>
                <w:sz w:val="20"/>
                <w:szCs w:val="20"/>
              </w:rPr>
              <w:t xml:space="preserve">nirK</w:t>
            </w:r>
          </w:p>
        </w:tc>
        <w:tc>
          <w:tcPr>
            <w:tcW w:type="dxa" w:w="1800"/>
            <w:shd w:fill="F4CCCC" w:val="clear"/>
          </w:tcPr>
          <w:p>
            <w:r>
              <w:rPr>
                <w:rFonts w:ascii="Calibri" w:cs="Calibri" w:eastAsia="Calibri" w:hAnsi="Calibri"/>
                <w:b/>
                <w:bCs/>
                <w:sz w:val="20"/>
                <w:szCs w:val="20"/>
              </w:rPr>
              <w:t xml:space="preserve">Not ready — partial lead</w:t>
            </w:r>
          </w:p>
        </w:tc>
        <w:tc>
          <w:tcPr>
            <w:tcW w:type="dxa" w:w="5040"/>
          </w:tcPr>
          <w:p>
            <w:r>
              <w:rPr>
                <w:rFonts w:ascii="Calibri" w:cs="Calibri" w:eastAsia="Calibri" w:hAnsi="Calibri"/>
                <w:sz w:val="19"/>
                <w:szCs w:val="19"/>
              </w:rPr>
              <w:t xml:space="preserve">One end of the target region (the 'reverse' primer) checks out and looks trustworthy. The other end (the 'forward' primer) doesn't land on a consistent spot across the bacteria checked.</w:t>
            </w:r>
          </w:p>
        </w:tc>
        <w:tc>
          <w:tcPr>
            <w:tcW w:type="dxa" w:w="1980"/>
          </w:tcPr>
          <w:p>
            <w:r>
              <w:rPr>
                <w:rFonts w:ascii="Calibri" w:cs="Calibri" w:eastAsia="Calibri" w:hAnsi="Calibri"/>
                <w:sz w:val="19"/>
                <w:szCs w:val="19"/>
              </w:rPr>
              <w:t xml:space="preserve">83 species checked; reliable region found for one primer only</w:t>
            </w:r>
          </w:p>
        </w:tc>
        <w:tc>
          <w:tcPr>
            <w:tcW w:type="dxa" w:w="3600"/>
          </w:tcPr>
          <w:p>
            <w:r>
              <w:rPr>
                <w:rFonts w:ascii="Calibri" w:cs="Calibri" w:eastAsia="Calibri" w:hAnsi="Calibri"/>
                <w:sz w:val="19"/>
                <w:szCs w:val="19"/>
              </w:rPr>
              <w:t xml:space="preserve">Needs a bioinformatics follow-up, possibly a redesigned forward primer.</w:t>
            </w:r>
          </w:p>
        </w:tc>
      </w:tr>
      <w:tr>
        <w:tc>
          <w:tcPr>
            <w:tcW w:type="dxa" w:w="1620"/>
          </w:tcPr>
          <w:p>
            <w:r>
              <w:rPr>
                <w:rFonts w:ascii="Calibri" w:cs="Calibri" w:eastAsia="Calibri" w:hAnsi="Calibri"/>
                <w:b/>
                <w:bCs/>
                <w:sz w:val="20"/>
                <w:szCs w:val="20"/>
              </w:rPr>
              <w:t xml:space="preserve">amoA (AOB)</w:t>
            </w:r>
          </w:p>
        </w:tc>
        <w:tc>
          <w:tcPr>
            <w:tcW w:type="dxa" w:w="1800"/>
            <w:shd w:fill="F4CCCC" w:val="clear"/>
          </w:tcPr>
          <w:p>
            <w:r>
              <w:rPr>
                <w:rFonts w:ascii="Calibri" w:cs="Calibri" w:eastAsia="Calibri" w:hAnsi="Calibri"/>
                <w:b/>
                <w:bCs/>
                <w:sz w:val="20"/>
                <w:szCs w:val="20"/>
              </w:rPr>
              <w:t xml:space="preserve">Not ready — too little data</w:t>
            </w:r>
          </w:p>
        </w:tc>
        <w:tc>
          <w:tcPr>
            <w:tcW w:type="dxa" w:w="5040"/>
          </w:tcPr>
          <w:p>
            <w:r>
              <w:rPr>
                <w:rFonts w:ascii="Calibri" w:cs="Calibri" w:eastAsia="Calibri" w:hAnsi="Calibri"/>
                <w:sz w:val="19"/>
                <w:szCs w:val="19"/>
              </w:rPr>
              <w:t xml:space="preserve">Only 4 usable bacteria carry this gene in the entire reference community — not enough to build a reliable representative sequence by any method.</w:t>
            </w:r>
          </w:p>
        </w:tc>
        <w:tc>
          <w:tcPr>
            <w:tcW w:type="dxa" w:w="1980"/>
          </w:tcPr>
          <w:p>
            <w:r>
              <w:rPr>
                <w:rFonts w:ascii="Calibri" w:cs="Calibri" w:eastAsia="Calibri" w:hAnsi="Calibri"/>
                <w:sz w:val="19"/>
                <w:szCs w:val="19"/>
              </w:rPr>
              <w:t xml:space="preserve">4 species</w:t>
            </w:r>
          </w:p>
        </w:tc>
        <w:tc>
          <w:tcPr>
            <w:tcW w:type="dxa" w:w="3600"/>
          </w:tcPr>
          <w:p>
            <w:r>
              <w:rPr>
                <w:rFonts w:ascii="Calibri" w:cs="Calibri" w:eastAsia="Calibri" w:hAnsi="Calibri"/>
                <w:sz w:val="19"/>
                <w:szCs w:val="19"/>
              </w:rPr>
              <w:t xml:space="preserve">Likely needs additional reference bacteria, or acceptance of a very limited sample.</w:t>
            </w:r>
          </w:p>
        </w:tc>
      </w:tr>
      <w:tr>
        <w:tc>
          <w:tcPr>
            <w:tcW w:type="dxa" w:w="1620"/>
          </w:tcPr>
          <w:p>
            <w:r>
              <w:rPr>
                <w:rFonts w:ascii="Calibri" w:cs="Calibri" w:eastAsia="Calibri" w:hAnsi="Calibri"/>
                <w:b/>
                <w:bCs/>
                <w:sz w:val="20"/>
                <w:szCs w:val="20"/>
              </w:rPr>
              <w:t xml:space="preserve">nosZ clade I</w:t>
            </w:r>
          </w:p>
        </w:tc>
        <w:tc>
          <w:tcPr>
            <w:tcW w:type="dxa" w:w="1800"/>
            <w:shd w:fill="F4CCCC" w:val="clear"/>
          </w:tcPr>
          <w:p>
            <w:r>
              <w:rPr>
                <w:rFonts w:ascii="Calibri" w:cs="Calibri" w:eastAsia="Calibri" w:hAnsi="Calibri"/>
                <w:b/>
                <w:bCs/>
                <w:sz w:val="20"/>
                <w:szCs w:val="20"/>
              </w:rPr>
              <w:t xml:space="preserve">Not ready</w:t>
            </w:r>
          </w:p>
        </w:tc>
        <w:tc>
          <w:tcPr>
            <w:tcW w:type="dxa" w:w="5040"/>
          </w:tcPr>
          <w:p>
            <w:r>
              <w:rPr>
                <w:rFonts w:ascii="Calibri" w:cs="Calibri" w:eastAsia="Calibri" w:hAnsi="Calibri"/>
                <w:sz w:val="19"/>
                <w:szCs w:val="19"/>
              </w:rPr>
              <w:t xml:space="preserve">This gene varies enough between species that our standard alignment approach could only reliably line up a small handful of the bacteria that carry it.</w:t>
            </w:r>
          </w:p>
        </w:tc>
        <w:tc>
          <w:tcPr>
            <w:tcW w:type="dxa" w:w="1980"/>
          </w:tcPr>
          <w:p>
            <w:r>
              <w:rPr>
                <w:rFonts w:ascii="Calibri" w:cs="Calibri" w:eastAsia="Calibri" w:hAnsi="Calibri"/>
                <w:sz w:val="19"/>
                <w:szCs w:val="19"/>
              </w:rPr>
              <w:t xml:space="preserve">196 species carry the gene; only a handful reliably aligned</w:t>
            </w:r>
          </w:p>
        </w:tc>
        <w:tc>
          <w:tcPr>
            <w:tcW w:type="dxa" w:w="3600"/>
          </w:tcPr>
          <w:p>
            <w:r>
              <w:rPr>
                <w:rFonts w:ascii="Calibri" w:cs="Calibri" w:eastAsia="Calibri" w:hAnsi="Calibri"/>
                <w:sz w:val="19"/>
                <w:szCs w:val="19"/>
              </w:rPr>
              <w:t xml:space="preserve">Needs a more advanced alignment approach or a narrower reference set.</w:t>
            </w:r>
          </w:p>
        </w:tc>
      </w:tr>
      <w:tr>
        <w:tc>
          <w:tcPr>
            <w:tcW w:type="dxa" w:w="1620"/>
          </w:tcPr>
          <w:p>
            <w:r>
              <w:rPr>
                <w:rFonts w:ascii="Calibri" w:cs="Calibri" w:eastAsia="Calibri" w:hAnsi="Calibri"/>
                <w:b/>
                <w:bCs/>
                <w:sz w:val="20"/>
                <w:szCs w:val="20"/>
              </w:rPr>
              <w:t xml:space="preserve">nosZ clade II</w:t>
            </w:r>
          </w:p>
        </w:tc>
        <w:tc>
          <w:tcPr>
            <w:tcW w:type="dxa" w:w="1800"/>
            <w:shd w:fill="F4CCCC" w:val="clear"/>
          </w:tcPr>
          <w:p>
            <w:r>
              <w:rPr>
                <w:rFonts w:ascii="Calibri" w:cs="Calibri" w:eastAsia="Calibri" w:hAnsi="Calibri"/>
                <w:b/>
                <w:bCs/>
                <w:sz w:val="20"/>
                <w:szCs w:val="20"/>
              </w:rPr>
              <w:t xml:space="preserve">Not ready</w:t>
            </w:r>
          </w:p>
        </w:tc>
        <w:tc>
          <w:tcPr>
            <w:tcW w:type="dxa" w:w="5040"/>
          </w:tcPr>
          <w:p>
            <w:r>
              <w:rPr>
                <w:rFonts w:ascii="Calibri" w:cs="Calibri" w:eastAsia="Calibri" w:hAnsi="Calibri"/>
                <w:sz w:val="19"/>
                <w:szCs w:val="19"/>
              </w:rPr>
              <w:t xml:space="preserve">Same issue as clade I. This gene also uses a special lab chemistry (inosine) at 2 primer spots that will need a substitution decision once a candidate exists.</w:t>
            </w:r>
          </w:p>
        </w:tc>
        <w:tc>
          <w:tcPr>
            <w:tcW w:type="dxa" w:w="1980"/>
          </w:tcPr>
          <w:p>
            <w:r>
              <w:rPr>
                <w:rFonts w:ascii="Calibri" w:cs="Calibri" w:eastAsia="Calibri" w:hAnsi="Calibri"/>
                <w:sz w:val="19"/>
                <w:szCs w:val="19"/>
              </w:rPr>
              <w:t xml:space="preserve">196 species carry the gene; not yet reliably aligned</w:t>
            </w:r>
          </w:p>
        </w:tc>
        <w:tc>
          <w:tcPr>
            <w:tcW w:type="dxa" w:w="3600"/>
          </w:tcPr>
          <w:p>
            <w:r>
              <w:rPr>
                <w:rFonts w:ascii="Calibri" w:cs="Calibri" w:eastAsia="Calibri" w:hAnsi="Calibri"/>
                <w:sz w:val="19"/>
                <w:szCs w:val="19"/>
              </w:rPr>
              <w:t xml:space="preserve">Needs the same alignment follow-up as clade I, plus an inosine substitution decision later.</w:t>
            </w:r>
          </w:p>
        </w:tc>
      </w:tr>
      <w:tr>
        <w:tc>
          <w:tcPr>
            <w:tcW w:type="dxa" w:w="1620"/>
          </w:tcPr>
          <w:p>
            <w:r>
              <w:rPr>
                <w:rFonts w:ascii="Calibri" w:cs="Calibri" w:eastAsia="Calibri" w:hAnsi="Calibri"/>
                <w:b/>
                <w:bCs/>
                <w:sz w:val="20"/>
                <w:szCs w:val="20"/>
              </w:rPr>
              <w:t xml:space="preserve">amoA (AOA)</w:t>
            </w:r>
          </w:p>
        </w:tc>
        <w:tc>
          <w:tcPr>
            <w:tcW w:type="dxa" w:w="1800"/>
            <w:shd w:fill="F4CCCC" w:val="clear"/>
          </w:tcPr>
          <w:p>
            <w:r>
              <w:rPr>
                <w:rFonts w:ascii="Calibri" w:cs="Calibri" w:eastAsia="Calibri" w:hAnsi="Calibri"/>
                <w:b/>
                <w:bCs/>
                <w:sz w:val="20"/>
                <w:szCs w:val="20"/>
              </w:rPr>
              <w:t xml:space="preserve">Blocked — wrong reference data</w:t>
            </w:r>
          </w:p>
        </w:tc>
        <w:tc>
          <w:tcPr>
            <w:tcW w:type="dxa" w:w="5040"/>
          </w:tcPr>
          <w:p>
            <w:r>
              <w:rPr>
                <w:rFonts w:ascii="Calibri" w:cs="Calibri" w:eastAsia="Calibri" w:hAnsi="Calibri"/>
                <w:sz w:val="19"/>
                <w:szCs w:val="19"/>
              </w:rPr>
              <w:t xml:space="preserve">This gene belongs to Archaea, a different domain of life than every bacterium in the reference community — there's nothing in the current data that could answer this one.</w:t>
            </w:r>
          </w:p>
        </w:tc>
        <w:tc>
          <w:tcPr>
            <w:tcW w:type="dxa" w:w="1980"/>
          </w:tcPr>
          <w:p>
            <w:r>
              <w:rPr>
                <w:rFonts w:ascii="Calibri" w:cs="Calibri" w:eastAsia="Calibri" w:hAnsi="Calibri"/>
                <w:sz w:val="19"/>
                <w:szCs w:val="19"/>
              </w:rPr>
              <w:t xml:space="preserve">0 (none in this dataset)</w:t>
            </w:r>
          </w:p>
        </w:tc>
        <w:tc>
          <w:tcPr>
            <w:tcW w:type="dxa" w:w="3600"/>
          </w:tcPr>
          <w:p>
            <w:r>
              <w:rPr>
                <w:rFonts w:ascii="Calibri" w:cs="Calibri" w:eastAsia="Calibri" w:hAnsi="Calibri"/>
                <w:sz w:val="19"/>
                <w:szCs w:val="19"/>
              </w:rPr>
              <w:t xml:space="preserve">Needs a separate reference list of archaea before work can begin.</w:t>
            </w:r>
          </w:p>
        </w:tc>
      </w:tr>
    </w:tbl>
    <w:p>
      <w:r>
        <w:br/>
        <w:t xml:space="preserve"/>
      </w:r>
    </w:p>
    <w:p>
      <w:r>
        <w:br/>
        <w:t xml:space="preserve"/>
      </w:r>
    </w:p>
    <w:p>
      <w:pPr>
        <w:sectPr>
          <w:pgSz w:w="15840" w:h="12240" w:orient="landscape"/>
          <w:pgMar w:top="900" w:right="900" w:bottom="900" w:left="900" w:header="708" w:footer="708" w:gutter="0"/>
          <w:pgNumType/>
          <w:docGrid w:linePitch="360"/>
        </w:sectPr>
      </w:pPr>
    </w:p>
    <w:p>
      <w:pPr>
        <w:pStyle w:val="Heading1"/>
        <w:spacing w:after="150" w:before="300"/>
      </w:pPr>
      <w:r>
        <w:t xml:space="preserve">ureC — Ready to Order</w:t>
      </w:r>
    </w:p>
    <w:p>
      <w:pPr>
        <w:spacing w:after="160"/>
      </w:pPr>
      <w:r>
        <w:rPr>
          <w:rFonts w:ascii="Calibri" w:cs="Calibri" w:eastAsia="Calibri" w:hAnsi="Calibri"/>
          <w:b w:val="false"/>
          <w:bCs w:val="false"/>
          <w:i/>
          <w:iCs/>
          <w:sz w:val="22"/>
          <w:szCs w:val="22"/>
        </w:rPr>
        <w:t xml:space="preserve">Built from 538 real bacteria, representative of the broader community this project studies.</w:t>
      </w:r>
    </w:p>
    <w:p>
      <w:pPr>
        <w:pStyle w:val="Heading2"/>
        <w:spacing w:after="120" w:before="250"/>
      </w:pPr>
      <w:r>
        <w:t xml:space="preserve">Candidate sequence (103 bp)</w:t>
      </w:r>
    </w:p>
    <w:p>
      <w:pPr>
        <w:shd w:fill="F2F2F2" w:val="clear"/>
        <w:spacing w:after="160"/>
      </w:pPr>
      <w:r>
        <w:rPr>
          <w:rFonts w:ascii="Courier New" w:cs="Courier New" w:eastAsia="Courier New" w:hAnsi="Courier New"/>
          <w:sz w:val="19"/>
          <w:szCs w:val="19"/>
        </w:rPr>
        <w:t xml:space="preserve">TCCACACCTACCACACCGAAGGCGCCGGCGGCGGCCACGCGCCGGACATCATCAAGGTCGCCGGCCAGCCGAACGTGCTGCCGTCCTCGACCAACCCGACCCT</w:t>
      </w:r>
    </w:p>
    <w:p>
      <w:pPr>
        <w:pStyle w:val="Heading2"/>
        <w:spacing w:after="120" w:before="250"/>
      </w:pPr>
      <w:r>
        <w:t xml:space="preserve">Primers</w:t>
      </w:r>
    </w:p>
    <w:p>
      <w:pPr>
        <w:spacing w:after="160"/>
      </w:pPr>
      <w:r>
        <w:rPr>
          <w:rFonts w:ascii="Calibri" w:cs="Calibri" w:eastAsia="Calibri" w:hAnsi="Calibri"/>
          <w:b w:val="false"/>
          <w:bCs w:val="false"/>
          <w:i w:val="false"/>
          <w:iCs w:val="false"/>
          <w:sz w:val="22"/>
          <w:szCs w:val="22"/>
        </w:rPr>
        <w:t xml:space="preserve">Forward: TTCACACCTTCCACACCGAA   (melting temp 53.6°C)</w:t>
      </w:r>
    </w:p>
    <w:p>
      <w:pPr>
        <w:spacing w:after="160"/>
      </w:pPr>
      <w:r>
        <w:rPr>
          <w:rFonts w:ascii="Calibri" w:cs="Calibri" w:eastAsia="Calibri" w:hAnsi="Calibri"/>
          <w:b w:val="false"/>
          <w:bCs w:val="false"/>
          <w:i w:val="false"/>
          <w:iCs w:val="false"/>
          <w:sz w:val="22"/>
          <w:szCs w:val="22"/>
        </w:rPr>
        <w:t xml:space="preserve">Reverse: AACGTCGGGTTGGTCGAG   (melting temp 54.0°C)</w:t>
      </w:r>
    </w:p>
    <w:p>
      <w:pPr>
        <w:pStyle w:val="Heading2"/>
        <w:spacing w:after="120" w:before="250"/>
      </w:pPr>
      <w:r>
        <w:t xml:space="preserve">Primer check result</w:t>
      </w:r>
    </w:p>
    <w:p>
      <w:pPr>
        <w:spacing w:after="160"/>
      </w:pPr>
      <w:r>
        <w:rPr>
          <w:rFonts w:ascii="Calibri" w:cs="Calibri" w:eastAsia="Calibri" w:hAnsi="Calibri"/>
          <w:b w:val="false"/>
          <w:bCs w:val="false"/>
          <w:i w:val="false"/>
          <w:iCs w:val="false"/>
          <w:sz w:val="22"/>
          <w:szCs w:val="22"/>
        </w:rPr>
        <w:t xml:space="preserve">Passes — 2 mismatches on each end, within normal tolerance.</w:t>
      </w:r>
    </w:p>
    <w:p>
      <w:pPr>
        <w:pStyle w:val="Heading2"/>
        <w:spacing w:after="120" w:before="250"/>
      </w:pPr>
      <w:r>
        <w:t xml:space="preserve">Two spots to double-check before ordering</w:t>
      </w:r>
    </w:p>
    <w:p>
      <w:pPr>
        <w:spacing w:after="160"/>
      </w:pPr>
      <w:r>
        <w:rPr>
          <w:rFonts w:ascii="Calibri" w:cs="Calibri" w:eastAsia="Calibri" w:hAnsi="Calibri"/>
          <w:b w:val="false"/>
          <w:bCs w:val="false"/>
          <w:i w:val="false"/>
          <w:iCs w:val="false"/>
          <w:sz w:val="22"/>
          <w:szCs w:val="22"/>
        </w:rPr>
        <w:t xml:space="preserve">Positions 10 and 84 in the sequence changed when we corrected for a sampling imbalance earlier in the project. Both are real amino-acid-level changes (not just harmless spelling variants in the DNA), and haven't yet been checked against known important regions of this protein. Recommend a quick look by Gaurav/Brett, or a literature check, before finalizing for synthesis.</w:t>
      </w:r>
    </w:p>
    <w:p>
      <w:pPr>
        <w:pBdr>
          <w:bottom w:val="single" w:color="AAAAAA" w:sz="6" w:space="1"/>
        </w:pBdr>
        <w:spacing w:after="200"/>
      </w:pPr>
    </w:p>
    <w:p>
      <w:pPr>
        <w:pStyle w:val="Heading1"/>
        <w:spacing w:after="150" w:before="300"/>
      </w:pPr>
      <w:r>
        <w:t xml:space="preserve">nirS — Usable Candidate, Thin Evidence</w:t>
      </w:r>
    </w:p>
    <w:p>
      <w:pPr>
        <w:spacing w:after="160"/>
      </w:pPr>
      <w:r>
        <w:rPr>
          <w:rFonts w:ascii="Calibri" w:cs="Calibri" w:eastAsia="Calibri" w:hAnsi="Calibri"/>
          <w:b w:val="false"/>
          <w:bCs w:val="false"/>
          <w:i/>
          <w:iCs/>
          <w:sz w:val="22"/>
          <w:szCs w:val="22"/>
        </w:rPr>
        <w:t xml:space="preserve">Built from only 2 real bacteria (Halomonas nitroreducens and Halomonas cerina) — this gene is rare in the reference community, so this is the most complete picture currently possible, not a large-scale consensus like ureC.</w:t>
      </w:r>
    </w:p>
    <w:p>
      <w:pPr>
        <w:pStyle w:val="Heading2"/>
        <w:spacing w:after="120" w:before="250"/>
      </w:pPr>
      <w:r>
        <w:t xml:space="preserve">Candidate sequence (407 bp)</w:t>
      </w:r>
    </w:p>
    <w:p>
      <w:pPr>
        <w:shd w:fill="F2F2F2" w:val="clear"/>
        <w:spacing w:after="160"/>
      </w:pPr>
      <w:r>
        <w:rPr>
          <w:rFonts w:ascii="Courier New" w:cs="Courier New" w:eastAsia="Courier New" w:hAnsi="Courier New"/>
          <w:sz w:val="19"/>
          <w:szCs w:val="19"/>
        </w:rPr>
        <w:t xml:space="preserve">AACGTCAAGGAAACCGGAAAGGTCCAGCTGGTCAACTACGAGGACCTGGACGCCCTGTCCACGGTGGAGATCGACACCTCCCGCTTCCTGCATGACGGCGGCTGGGACAGCACCGGCCGCTACTTCCTGACCGCGGCCAACGAGTCCAACCAGATCGTGGTCATCGACGCCCAGGAGCGCGAACTCGAGGCCATCGTCGACGTCGGCAAGATCCCCCACCCGGGACGCGGCGCCAACTTCGTCGACCCCGAGTTCGGGCCGGTCTGGGCCACCAGCCACCTCGGCGACAACACCATCCAGCTGATCGGCACCGACCCGGAAGGCCACCCCGACAACGCCTGGCAGGTGGTGCGCACCCTGCAAGGCCAGGGCGGCGGCTCGCTGTTCATCAAGACCCACCCCGAGTC</w:t>
      </w:r>
    </w:p>
    <w:p>
      <w:pPr>
        <w:pStyle w:val="Heading2"/>
        <w:spacing w:after="120" w:before="250"/>
      </w:pPr>
      <w:r>
        <w:t xml:space="preserve">Primers</w:t>
      </w:r>
    </w:p>
    <w:p>
      <w:pPr>
        <w:spacing w:after="160"/>
      </w:pPr>
      <w:r>
        <w:rPr>
          <w:rFonts w:ascii="Calibri" w:cs="Calibri" w:eastAsia="Calibri" w:hAnsi="Calibri"/>
          <w:b w:val="false"/>
          <w:bCs w:val="false"/>
          <w:i w:val="false"/>
          <w:iCs w:val="false"/>
          <w:sz w:val="22"/>
          <w:szCs w:val="22"/>
        </w:rPr>
        <w:t xml:space="preserve">Forward: AACGYSAAGGARACSGG   (approximate melting temp 52.4°C)</w:t>
      </w:r>
    </w:p>
    <w:p>
      <w:pPr>
        <w:spacing w:after="160"/>
      </w:pPr>
      <w:r>
        <w:rPr>
          <w:rFonts w:ascii="Calibri" w:cs="Calibri" w:eastAsia="Calibri" w:hAnsi="Calibri"/>
          <w:b w:val="false"/>
          <w:bCs w:val="false"/>
          <w:i w:val="false"/>
          <w:iCs w:val="false"/>
          <w:sz w:val="22"/>
          <w:szCs w:val="22"/>
        </w:rPr>
        <w:t xml:space="preserve">Reverse: GASTTCGGRTGSGTCTTSAYGAA   (approximate melting temp 56.6°C)</w:t>
      </w:r>
    </w:p>
    <w:p>
      <w:pPr>
        <w:spacing w:after="160"/>
      </w:pPr>
      <w:r>
        <w:rPr>
          <w:rFonts w:ascii="Calibri" w:cs="Calibri" w:eastAsia="Calibri" w:hAnsi="Calibri"/>
          <w:b w:val="false"/>
          <w:bCs w:val="false"/>
          <w:i/>
          <w:iCs/>
          <w:sz w:val="22"/>
          <w:szCs w:val="22"/>
        </w:rPr>
        <w:t xml:space="preserve">Note: the letters Y, R, and S in these primers are normal lab shorthand meaning "either of two possible letters" at that spot — not an error.</w:t>
      </w:r>
    </w:p>
    <w:p>
      <w:pPr>
        <w:pStyle w:val="Heading2"/>
        <w:spacing w:after="120" w:before="250"/>
      </w:pPr>
      <w:r>
        <w:t xml:space="preserve">Primer check result</w:t>
      </w:r>
    </w:p>
    <w:p>
      <w:pPr>
        <w:spacing w:after="160"/>
      </w:pPr>
      <w:r>
        <w:rPr>
          <w:rFonts w:ascii="Calibri" w:cs="Calibri" w:eastAsia="Calibri" w:hAnsi="Calibri"/>
          <w:b w:val="false"/>
          <w:bCs w:val="false"/>
          <w:i w:val="false"/>
          <w:iCs w:val="false"/>
          <w:sz w:val="22"/>
          <w:szCs w:val="22"/>
        </w:rPr>
        <w:t xml:space="preserve">Passes — 0 mismatches on the forward end, 2 on the reverse end, within normal tolerance.</w:t>
      </w:r>
    </w:p>
    <w:p>
      <w:pPr>
        <w:pStyle w:val="Heading2"/>
        <w:spacing w:after="120" w:before="250"/>
      </w:pPr>
      <w:r>
        <w:t xml:space="preserve">Caveat</w:t>
      </w:r>
    </w:p>
    <w:p>
      <w:pPr>
        <w:spacing w:after="160"/>
      </w:pPr>
      <w:r>
        <w:rPr>
          <w:rFonts w:ascii="Calibri" w:cs="Calibri" w:eastAsia="Calibri" w:hAnsi="Calibri"/>
          <w:b w:val="false"/>
          <w:bCs w:val="false"/>
          <w:i w:val="false"/>
          <w:iCs w:val="false"/>
          <w:sz w:val="22"/>
          <w:szCs w:val="22"/>
        </w:rPr>
        <w:t xml:space="preserve">Only 3 bacteria in the entire reference community carry this gene at all, and only 2 of those had usable sequence data. Recommend treating this as a working draft and discussing with the team whether more reference data should be sought before ordering.</w:t>
      </w:r>
    </w:p>
    <w:p>
      <w:pPr>
        <w:pBdr>
          <w:bottom w:val="single" w:color="AAAAAA" w:sz="6" w:space="1"/>
        </w:pBdr>
        <w:spacing w:after="200"/>
      </w:pPr>
    </w:p>
    <w:p>
      <w:pPr>
        <w:pStyle w:val="Heading1"/>
        <w:spacing w:after="150" w:before="300"/>
      </w:pPr>
      <w:r>
        <w:t xml:space="preserve">Genes Not Yet Ready — Plain-Language Explanation</w:t>
      </w:r>
    </w:p>
    <w:p>
      <w:pPr>
        <w:pStyle w:val="Heading2"/>
        <w:spacing w:after="120" w:before="250"/>
      </w:pPr>
      <w:r>
        <w:t xml:space="preserve">nirK</w:t>
      </w:r>
    </w:p>
    <w:p>
      <w:pPr>
        <w:spacing w:after="160"/>
      </w:pPr>
      <w:r>
        <w:rPr>
          <w:rFonts w:ascii="Calibri" w:cs="Calibri" w:eastAsia="Calibri" w:hAnsi="Calibri"/>
          <w:b w:val="false"/>
          <w:bCs w:val="false"/>
          <w:i w:val="false"/>
          <w:iCs w:val="false"/>
          <w:sz w:val="22"/>
          <w:szCs w:val="22"/>
        </w:rPr>
        <w:t xml:space="preserve">We found one reliable landmark (where the reverse primer binds) that's consistent across many of the bacteria that carry this gene — that part looks real and trustworthy. But the other landmark (the forward primer) doesn't line up consistently across those same bacteria, so we can't yet stitch together a complete, trustworthy candidate sequence. This looks like a genuine mismatch between the forward primer and this bacterial community, not a computer error on our end.</w:t>
      </w:r>
    </w:p>
    <w:p>
      <w:pPr>
        <w:pStyle w:val="Heading2"/>
        <w:spacing w:after="120" w:before="250"/>
      </w:pPr>
      <w:r>
        <w:t xml:space="preserve">amoA (AOB)</w:t>
      </w:r>
    </w:p>
    <w:p>
      <w:pPr>
        <w:spacing w:after="160"/>
      </w:pPr>
      <w:r>
        <w:rPr>
          <w:rFonts w:ascii="Calibri" w:cs="Calibri" w:eastAsia="Calibri" w:hAnsi="Calibri"/>
          <w:b w:val="false"/>
          <w:bCs w:val="false"/>
          <w:i w:val="false"/>
          <w:iCs w:val="false"/>
          <w:sz w:val="22"/>
          <w:szCs w:val="22"/>
        </w:rPr>
        <w:t xml:space="preserve">Only 4 bacteria in the whole reference community carry this gene. That's too few to build a sequence that fairly represents "the community" by any method — any candidate built from 4 organisms would really just be describing those 4, not a broader picture.</w:t>
      </w:r>
    </w:p>
    <w:p>
      <w:pPr>
        <w:pStyle w:val="Heading2"/>
        <w:spacing w:after="120" w:before="250"/>
      </w:pPr>
      <w:r>
        <w:t xml:space="preserve">nosZ clade I</w:t>
      </w:r>
    </w:p>
    <w:p>
      <w:pPr>
        <w:spacing w:after="160"/>
      </w:pPr>
      <w:r>
        <w:rPr>
          <w:rFonts w:ascii="Calibri" w:cs="Calibri" w:eastAsia="Calibri" w:hAnsi="Calibri"/>
          <w:b w:val="false"/>
          <w:bCs w:val="false"/>
          <w:i w:val="false"/>
          <w:iCs w:val="false"/>
          <w:sz w:val="22"/>
          <w:szCs w:val="22"/>
        </w:rPr>
        <w:t xml:space="preserve">This gene varies a lot in its DNA sequence from one type of bacteria to another, even though the underlying protein it makes is more similar than the DNA suggests. Our first-pass method for handling that (line up all the bacteria's sequences together, then find the matching region) only worked cleanly for a small handful of species. We tried a more sophisticated version of the same idea and it helped, but still not enough to trust the result yet.</w:t>
      </w:r>
    </w:p>
    <w:p>
      <w:pPr>
        <w:pStyle w:val="Heading2"/>
        <w:spacing w:after="120" w:before="250"/>
      </w:pPr>
      <w:r>
        <w:t xml:space="preserve">nosZ clade II</w:t>
      </w:r>
    </w:p>
    <w:p>
      <w:pPr>
        <w:spacing w:after="160"/>
      </w:pPr>
      <w:r>
        <w:rPr>
          <w:rFonts w:ascii="Calibri" w:cs="Calibri" w:eastAsia="Calibri" w:hAnsi="Calibri"/>
          <w:b w:val="false"/>
          <w:bCs w:val="false"/>
          <w:i w:val="false"/>
          <w:iCs w:val="false"/>
          <w:sz w:val="22"/>
          <w:szCs w:val="22"/>
        </w:rPr>
        <w:t xml:space="preserve">Same underlying issue as nosZ clade I: too much natural variation across species for our current alignment method to confidently locate the primer target region for most of the bacteria involved. This gene also uses a special DNA building block (inosine) at 2 spots in its primers, which can't literally be manufactured into the final product — once a candidate sequence exists, we'll need to report what real DNA letter is most common at those two spots and use that instead. That step hasn't been reached yet because we don't have a reliable candidate sequence to check it against.</w:t>
      </w:r>
    </w:p>
    <w:p>
      <w:pPr>
        <w:pStyle w:val="Heading2"/>
        <w:spacing w:after="120" w:before="250"/>
      </w:pPr>
      <w:r>
        <w:t xml:space="preserve">amoA (AOA)</w:t>
      </w:r>
    </w:p>
    <w:p>
      <w:pPr>
        <w:spacing w:after="160"/>
      </w:pPr>
      <w:r>
        <w:rPr>
          <w:rFonts w:ascii="Calibri" w:cs="Calibri" w:eastAsia="Calibri" w:hAnsi="Calibri"/>
          <w:b w:val="false"/>
          <w:bCs w:val="false"/>
          <w:i w:val="false"/>
          <w:iCs w:val="false"/>
          <w:sz w:val="22"/>
          <w:szCs w:val="22"/>
        </w:rPr>
        <w:t xml:space="preserve">This gene belongs to Archaea, a completely different branch of life from all the bacteria in our reference list. It's not that the analysis failed — there's simply nothing in our current data that could ever answer this question, the same way you couldn't identify a bird species using only a list of fish. We'd need an entirely separate reference list of archaea to make any progress here.</w:t>
      </w:r>
    </w:p>
    <w:p>
      <w:pPr>
        <w:pBdr>
          <w:bottom w:val="single" w:color="AAAAAA" w:sz="6" w:space="1"/>
        </w:pBdr>
        <w:spacing w:after="200"/>
      </w:pPr>
    </w:p>
    <w:p>
      <w:pPr>
        <w:pStyle w:val="Heading1"/>
        <w:spacing w:after="150" w:before="300"/>
      </w:pPr>
      <w:r>
        <w:t xml:space="preserve">Bottom Line</w:t>
      </w:r>
    </w:p>
    <w:p>
      <w:pPr>
        <w:spacing w:after="160"/>
      </w:pPr>
      <w:r>
        <w:rPr>
          <w:rFonts w:ascii="Calibri" w:cs="Calibri" w:eastAsia="Calibri" w:hAnsi="Calibri"/>
          <w:b w:val="false"/>
          <w:bCs w:val="false"/>
          <w:i w:val="false"/>
          <w:iCs w:val="false"/>
          <w:sz w:val="22"/>
          <w:szCs w:val="22"/>
        </w:rPr>
        <w:t xml:space="preserve">ureC is ready to send to synthesis, pending one quick expert check. nirS is usable but should be treated as a rough draft. The remaining five genes need a follow-up decision from the team — most likely on primer redesign, additional reference data, or accepting a lower-confidence result — before a candidate sequence can be finalized for any of them.</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2026-08-12T05:25:57.320Z</dcterms:created>
  <dcterms:modified xsi:type="dcterms:W3CDTF">2026-08-12T05:25:57.322Z</dcterms:modified>
</cp:coreProperties>
</file>

<file path=docProps/custom.xml><?xml version="1.0" encoding="utf-8"?>
<Properties xmlns="http://schemas.openxmlformats.org/officeDocument/2006/custom-properties" xmlns:vt="http://schemas.openxmlformats.org/officeDocument/2006/docPropsVTypes"/>
</file>