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88" w:rsidRDefault="00B10688" w:rsidP="003E0365">
      <w:pPr>
        <w:spacing w:line="480" w:lineRule="auto"/>
      </w:pPr>
      <w:bookmarkStart w:id="0" w:name="_GoBack"/>
      <w:bookmarkEnd w:id="0"/>
      <w:r>
        <w:t>ICESJMS-2013-347</w:t>
      </w:r>
    </w:p>
    <w:p w:rsidR="00B10688" w:rsidRDefault="00B10688" w:rsidP="003E0365">
      <w:pPr>
        <w:spacing w:line="480" w:lineRule="auto"/>
      </w:pPr>
      <w:r w:rsidRPr="00B10688">
        <w:t>Time-varying natural mortality in fisheries stock assessment models: Identifying a default approach</w:t>
      </w:r>
    </w:p>
    <w:p w:rsidR="0025216C" w:rsidRPr="0025216C" w:rsidRDefault="0025216C" w:rsidP="0025216C">
      <w:pPr>
        <w:keepNext/>
        <w:keepLines/>
        <w:spacing w:after="0" w:line="480" w:lineRule="auto"/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</w:pPr>
      <w:r w:rsidRPr="0025216C">
        <w:rPr>
          <w:rFonts w:ascii="Cambria" w:eastAsia="Cambria" w:hAnsi="Cambria" w:cs="Times New Roman"/>
          <w:sz w:val="24"/>
          <w:szCs w:val="24"/>
          <w:lang w:val="en-US"/>
        </w:rPr>
        <w:t>Kelli F. Johnson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1*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Cole C. Monnahan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2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Carey R. McGilliard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1,3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Katyana A. Vert-pre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1,4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Sean C. Anderson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5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Curry J. Cunningham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Felipe Hurtado-Ferro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Roberto Licandeo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6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Melissa Muradian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2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Kotaro Ono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Cody S. Szuwalski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Juan L. Valero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1,7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Athol R. Whitten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</w:t>
      </w:r>
      <w:r w:rsidRPr="0025216C">
        <w:rPr>
          <w:rFonts w:ascii="Cambria" w:eastAsia="Cambria" w:hAnsi="Cambria" w:cs="Times New Roman"/>
          <w:sz w:val="24"/>
          <w:szCs w:val="24"/>
          <w:lang w:val="en-US"/>
        </w:rPr>
        <w:t>, and André E. Punt</w:t>
      </w:r>
      <w:r w:rsidRPr="0025216C">
        <w:rPr>
          <w:rFonts w:ascii="Cambria" w:eastAsia="Cambria" w:hAnsi="Cambria" w:cs="Times New Roman"/>
          <w:sz w:val="24"/>
          <w:szCs w:val="24"/>
          <w:vertAlign w:val="superscript"/>
          <w:lang w:val="en-US"/>
        </w:rPr>
        <w:t>1</w:t>
      </w:r>
    </w:p>
    <w:p w:rsidR="0025216C" w:rsidRPr="0025216C" w:rsidRDefault="0025216C" w:rsidP="0025216C">
      <w:pPr>
        <w:spacing w:after="0" w:line="480" w:lineRule="auto"/>
        <w:rPr>
          <w:rFonts w:ascii="Cambria" w:eastAsia="Cambria" w:hAnsi="Cambria" w:cs="Times New Roman"/>
          <w:sz w:val="24"/>
          <w:szCs w:val="24"/>
          <w:lang w:val="en-US"/>
        </w:rPr>
      </w:pPr>
    </w:p>
    <w:p w:rsidR="0025216C" w:rsidRPr="0025216C" w:rsidRDefault="0025216C" w:rsidP="0025216C">
      <w:pPr>
        <w:spacing w:after="0" w:line="480" w:lineRule="auto"/>
        <w:rPr>
          <w:rFonts w:ascii="Cambria" w:eastAsia="SimSun" w:hAnsi="Cambria" w:cs="Times New Roman"/>
          <w:bCs/>
          <w:i/>
          <w:sz w:val="16"/>
          <w:szCs w:val="16"/>
          <w:lang w:val="en-US"/>
        </w:rPr>
      </w:pPr>
      <w:r w:rsidRPr="0025216C">
        <w:rPr>
          <w:rFonts w:ascii="Cambria" w:eastAsia="SimSun" w:hAnsi="Cambria" w:cs="Times New Roman"/>
          <w:bCs/>
          <w:i/>
          <w:sz w:val="16"/>
          <w:szCs w:val="16"/>
          <w:vertAlign w:val="superscript"/>
          <w:lang w:val="en-US"/>
        </w:rPr>
        <w:t>1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School of Aquatic and Fishery Sciences, University of Washington, Box 355020, Seattle, WA 98195-5020, USA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br/>
      </w:r>
      <w:r w:rsidRPr="0025216C">
        <w:rPr>
          <w:rFonts w:ascii="Cambria" w:eastAsia="SimSun" w:hAnsi="Cambria" w:cs="Times New Roman"/>
          <w:bCs/>
          <w:i/>
          <w:sz w:val="16"/>
          <w:szCs w:val="16"/>
          <w:vertAlign w:val="superscript"/>
          <w:lang w:val="en-US"/>
        </w:rPr>
        <w:t>2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Quantitative Ecology &amp; Resource Management, University of Washington, Box 352182, Seattle, WA 98195-</w:t>
      </w:r>
      <w:r w:rsidR="007819B4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2812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, USA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br/>
      </w:r>
      <w:r w:rsidRPr="0025216C">
        <w:rPr>
          <w:rFonts w:ascii="Cambria" w:eastAsia="SimSun" w:hAnsi="Cambria" w:cs="Times New Roman"/>
          <w:bCs/>
          <w:i/>
          <w:sz w:val="16"/>
          <w:szCs w:val="16"/>
          <w:vertAlign w:val="superscript"/>
          <w:lang w:val="en-US"/>
        </w:rPr>
        <w:t>3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Joint Institute for the Study of the Atmosphere and Ocean, University of Washington, Alaska Fisheries Science Center, National Marine Fisheries Service, National Oceanic and Atmospheric Administration, , Seattle, WA, USA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br/>
      </w:r>
      <w:r w:rsidRPr="0025216C">
        <w:rPr>
          <w:rFonts w:ascii="Cambria" w:eastAsia="SimSun" w:hAnsi="Cambria" w:cs="Times New Roman"/>
          <w:bCs/>
          <w:i/>
          <w:sz w:val="16"/>
          <w:szCs w:val="16"/>
          <w:vertAlign w:val="superscript"/>
          <w:lang w:val="en-US"/>
        </w:rPr>
        <w:t>4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School of Forest Resources and Conservation, University of Florida,</w:t>
      </w:r>
      <w:r w:rsidRPr="0025216C">
        <w:rPr>
          <w:rFonts w:ascii="Calibri" w:eastAsia="SimSun" w:hAnsi="Calibri" w:cs="Times New Roman"/>
          <w:bCs/>
          <w:sz w:val="16"/>
          <w:szCs w:val="16"/>
          <w:lang w:val="en-US"/>
        </w:rPr>
        <w:t xml:space="preserve"> 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Box 110240, Gainesville, FL 32611, USA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br/>
      </w:r>
      <w:r w:rsidRPr="0025216C">
        <w:rPr>
          <w:rFonts w:ascii="Cambria" w:eastAsia="SimSun" w:hAnsi="Cambria" w:cs="Times New Roman"/>
          <w:bCs/>
          <w:i/>
          <w:sz w:val="16"/>
          <w:szCs w:val="16"/>
          <w:vertAlign w:val="superscript"/>
          <w:lang w:val="en-US"/>
        </w:rPr>
        <w:t>5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Department of Biological Sciences, Simon Fraser University, Burnaby BC, V5A 1S6, Canada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br/>
      </w:r>
      <w:r w:rsidRPr="0025216C">
        <w:rPr>
          <w:rFonts w:ascii="Cambria" w:eastAsia="SimSun" w:hAnsi="Cambria" w:cs="Times New Roman"/>
          <w:bCs/>
          <w:i/>
          <w:sz w:val="16"/>
          <w:szCs w:val="16"/>
          <w:vertAlign w:val="superscript"/>
          <w:lang w:val="en-US"/>
        </w:rPr>
        <w:t>6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Fisheries Centre, Aquatic Ecosystems Research Laboratory, University of British Columbia, Vancouver, BC V6T 1Z4, Canada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br/>
      </w:r>
      <w:r w:rsidRPr="0025216C">
        <w:rPr>
          <w:rFonts w:ascii="Cambria" w:eastAsia="SimSun" w:hAnsi="Cambria" w:cs="Times New Roman"/>
          <w:bCs/>
          <w:i/>
          <w:sz w:val="16"/>
          <w:szCs w:val="16"/>
          <w:vertAlign w:val="superscript"/>
          <w:lang w:val="en-US"/>
        </w:rPr>
        <w:t>7</w:t>
      </w:r>
      <w:r w:rsidRPr="0025216C">
        <w:rPr>
          <w:rFonts w:ascii="Cambria" w:eastAsia="SimSun" w:hAnsi="Cambria" w:cs="Times New Roman"/>
          <w:bCs/>
          <w:i/>
          <w:sz w:val="16"/>
          <w:szCs w:val="16"/>
          <w:lang w:val="en-US"/>
        </w:rPr>
        <w:t>Center for the Advancement of Population Assessment Methodology, 8901 La Jolla Shores Drive, La Jolla, CA 92037, USA</w:t>
      </w:r>
    </w:p>
    <w:p w:rsidR="0025216C" w:rsidRPr="0025216C" w:rsidRDefault="0025216C" w:rsidP="0025216C">
      <w:pPr>
        <w:spacing w:after="0" w:line="480" w:lineRule="auto"/>
        <w:rPr>
          <w:rFonts w:ascii="Cambria" w:eastAsia="Cambria" w:hAnsi="Cambria" w:cs="Times New Roman"/>
          <w:sz w:val="16"/>
          <w:szCs w:val="16"/>
          <w:lang w:val="en-US"/>
        </w:rPr>
      </w:pPr>
    </w:p>
    <w:p w:rsidR="005B057F" w:rsidRDefault="0025216C" w:rsidP="0025216C">
      <w:pPr>
        <w:rPr>
          <w:b/>
        </w:rPr>
      </w:pPr>
      <w:r w:rsidRPr="0025216C">
        <w:rPr>
          <w:rFonts w:ascii="Cambria" w:eastAsia="Cambria" w:hAnsi="Cambria" w:cs="Times New Roman"/>
          <w:i/>
          <w:sz w:val="16"/>
          <w:szCs w:val="16"/>
          <w:vertAlign w:val="superscript"/>
          <w:lang w:val="en-US"/>
        </w:rPr>
        <w:t>*</w:t>
      </w:r>
      <w:r w:rsidRPr="0025216C">
        <w:rPr>
          <w:rFonts w:ascii="Cambria" w:eastAsia="Cambria" w:hAnsi="Cambria" w:cs="Times New Roman"/>
          <w:i/>
          <w:sz w:val="16"/>
          <w:szCs w:val="16"/>
          <w:lang w:val="en-US"/>
        </w:rPr>
        <w:t>Corresponding author: tel: +1 206 543 4270; fax: +1 206 685 7471; email: kfjohns@uw.edu</w:t>
      </w:r>
      <w:r w:rsidR="005B057F">
        <w:rPr>
          <w:b/>
        </w:rPr>
        <w:br w:type="page"/>
      </w:r>
    </w:p>
    <w:p w:rsidR="00974C39" w:rsidRDefault="00974C39" w:rsidP="00974C39">
      <w:pPr>
        <w:rPr>
          <w:b/>
        </w:rPr>
      </w:pPr>
      <w:r>
        <w:rPr>
          <w:b/>
        </w:rPr>
        <w:lastRenderedPageBreak/>
        <w:t>Supplementary Tables</w:t>
      </w:r>
    </w:p>
    <w:p w:rsidR="0088106B" w:rsidRDefault="0088106B" w:rsidP="00974C39">
      <w:pPr>
        <w:rPr>
          <w:rFonts w:cs="Times New Roman"/>
        </w:rPr>
      </w:pPr>
      <w:r>
        <w:t xml:space="preserve">Table S1. </w:t>
      </w:r>
      <w:r w:rsidR="00564B7C">
        <w:rPr>
          <w:rFonts w:cs="Times New Roman"/>
        </w:rPr>
        <w:t xml:space="preserve">Percentage </w:t>
      </w:r>
      <w:r w:rsidR="003C57B8">
        <w:rPr>
          <w:rFonts w:cs="Times New Roman"/>
        </w:rPr>
        <w:t>of models that failed to converge (</w:t>
      </w:r>
      <w:r w:rsidR="0064332A">
        <w:rPr>
          <w:rFonts w:cs="Times New Roman"/>
        </w:rPr>
        <w:t>non-</w:t>
      </w:r>
      <w:r w:rsidR="003C57B8">
        <w:rPr>
          <w:rFonts w:cs="Times New Roman"/>
        </w:rPr>
        <w:t>invertible covariance matrix or parameters on the bounds) for each scenario.</w:t>
      </w:r>
      <w:r w:rsidR="00CB46A8">
        <w:rPr>
          <w:rFonts w:cs="Times New Roman"/>
        </w:rPr>
        <w:t xml:space="preserve"> Values of NA indicate models that were removed from the analysis due to a lack of convergence (i.e. less than 15 of 100 initial runs produced a covariance matrix).</w:t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498"/>
        <w:gridCol w:w="512"/>
        <w:gridCol w:w="882"/>
        <w:gridCol w:w="1020"/>
        <w:gridCol w:w="950"/>
        <w:gridCol w:w="950"/>
        <w:gridCol w:w="950"/>
        <w:gridCol w:w="718"/>
        <w:gridCol w:w="718"/>
        <w:gridCol w:w="718"/>
      </w:tblGrid>
      <w:tr w:rsidR="00E55BBC" w:rsidRPr="00E55BBC" w:rsidTr="00E55BBC">
        <w:trPr>
          <w:trHeight w:val="30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F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EM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Species</w:t>
            </w:r>
          </w:p>
        </w:tc>
        <w:tc>
          <w:tcPr>
            <w:tcW w:w="57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True trend in </w:t>
            </w:r>
            <w:r w:rsidRPr="00E55BBC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Constant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Down 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Down 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Down 90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Up 50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Up 75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Up 90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Constant F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Estimate </w:t>
            </w:r>
            <w:r w:rsidRPr="00E55BBC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5.66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2.91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30.56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Fixed M</w:t>
            </w:r>
            <w:r w:rsidRPr="00E55BBC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9.91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Increase F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Estimate </w:t>
            </w:r>
            <w:r w:rsidRPr="00E55BBC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4.76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1.96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67.53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47.37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12.28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4.76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9.09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6.54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34.21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Fixed M</w:t>
            </w:r>
            <w:r w:rsidRPr="00E55BBC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low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80.51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3.85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86.81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22.48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39.76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70.67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Fixed M</w:t>
            </w:r>
            <w:r w:rsidRPr="00E55BBC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26.40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15.97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9.91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4.76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13.04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79.84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11.50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Fixed M</w:t>
            </w:r>
            <w:r w:rsidRPr="00E55BBC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high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3.85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1.98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3.85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1.96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23.66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13.79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3.85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Contrast F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Estimate </w:t>
            </w:r>
            <w:r w:rsidRPr="00E55BBC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5.66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6.54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84.66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59.68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4.76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23.08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6.54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9.91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26.47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45.05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Fixed M</w:t>
            </w:r>
            <w:r w:rsidRPr="00E55BBC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low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13.04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7.41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3.85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85.51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27.01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90.95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38.27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70.50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90.46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Fixed M</w:t>
            </w:r>
            <w:r w:rsidRPr="00E55BBC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18.49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50.98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3.85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25.37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5.66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14.53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15.97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24.81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Fixed M</w:t>
            </w:r>
            <w:r w:rsidRPr="00E55BBC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high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cod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0.99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flatfish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4.81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5.66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11.21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11.21</w:t>
            </w:r>
          </w:p>
        </w:tc>
      </w:tr>
      <w:tr w:rsidR="00E55BBC" w:rsidRPr="00E55BBC" w:rsidTr="00E55BBC">
        <w:trPr>
          <w:trHeight w:val="300"/>
        </w:trPr>
        <w:tc>
          <w:tcPr>
            <w:tcW w:w="4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5BBC" w:rsidRPr="00E55BBC" w:rsidRDefault="00E55BBC" w:rsidP="00E55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sardine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3.85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1.96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1.96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2.91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34.64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16.67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5BBC" w:rsidRPr="00E55BBC" w:rsidRDefault="00E55BBC" w:rsidP="00E55B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5BBC">
              <w:rPr>
                <w:rFonts w:ascii="Calibri" w:eastAsia="Times New Roman" w:hAnsi="Calibri" w:cs="Times New Roman"/>
                <w:color w:val="000000"/>
                <w:lang w:val="en-US"/>
              </w:rPr>
              <w:t>3.85</w:t>
            </w:r>
          </w:p>
        </w:tc>
      </w:tr>
    </w:tbl>
    <w:p w:rsidR="00FF5D9E" w:rsidRDefault="00FF5D9E" w:rsidP="00974C39">
      <w:pPr>
        <w:rPr>
          <w:rFonts w:cs="Times New Roman"/>
        </w:rPr>
      </w:pPr>
    </w:p>
    <w:p w:rsidR="00F22709" w:rsidRDefault="00F22709" w:rsidP="00974C39"/>
    <w:p w:rsidR="00F22709" w:rsidRDefault="00F22709">
      <w:r>
        <w:br w:type="page"/>
      </w:r>
    </w:p>
    <w:p w:rsidR="00602D8F" w:rsidRDefault="00602D8F" w:rsidP="00974C39">
      <w:r>
        <w:lastRenderedPageBreak/>
        <w:t>Table S</w:t>
      </w:r>
      <w:r w:rsidR="0088106B">
        <w:t>2</w:t>
      </w:r>
      <w:r>
        <w:t xml:space="preserve">. Results from an analysis of variance for </w:t>
      </w:r>
      <w:r w:rsidR="0088106B">
        <w:t xml:space="preserve">terminal </w:t>
      </w:r>
      <w:r w:rsidR="0088106B">
        <w:rPr>
          <w:i/>
        </w:rPr>
        <w:t xml:space="preserve">SSB, </w:t>
      </w:r>
      <w:r w:rsidR="0088106B">
        <w:t xml:space="preserve">terminal </w:t>
      </w:r>
      <w:r w:rsidR="0088106B">
        <w:rPr>
          <w:i/>
        </w:rPr>
        <w:t>F</w:t>
      </w:r>
      <w:r w:rsidR="0088106B" w:rsidRPr="0088106B">
        <w:t>,</w:t>
      </w:r>
      <w:r w:rsidR="0088106B">
        <w:t xml:space="preserve"> and </w:t>
      </w:r>
      <w:r w:rsidRPr="0088106B">
        <w:t>TAC</w:t>
      </w:r>
      <w:r w:rsidR="0088106B">
        <w:t>,</w:t>
      </w:r>
      <w:r>
        <w:t xml:space="preserve"> testing the null hypothesis that </w:t>
      </w:r>
      <w:r w:rsidR="007819B4">
        <w:t>relative errors (</w:t>
      </w:r>
      <w:r>
        <w:t>REs</w:t>
      </w:r>
      <w:r w:rsidR="007819B4">
        <w:t>)</w:t>
      </w:r>
      <w:r>
        <w:t xml:space="preserve"> </w:t>
      </w:r>
      <w:r w:rsidR="0088106B">
        <w:t xml:space="preserve">for each metric </w:t>
      </w:r>
      <w:r>
        <w:t xml:space="preserve">are similar between fishing mortality scenarios </w:t>
      </w:r>
      <w:r w:rsidR="0088106B">
        <w:t xml:space="preserve">and </w:t>
      </w:r>
      <w:r w:rsidR="008A28F7">
        <w:t>life-history types</w:t>
      </w:r>
      <w:r w:rsidR="0088106B">
        <w:t xml:space="preserve"> </w:t>
      </w:r>
      <w:r>
        <w:t xml:space="preserve">when </w:t>
      </w:r>
      <w:r>
        <w:rPr>
          <w:i/>
        </w:rPr>
        <w:t>M</w:t>
      </w:r>
      <w:r>
        <w:t xml:space="preserve"> is time-invariant in the </w:t>
      </w:r>
      <w:r w:rsidR="007819B4">
        <w:t xml:space="preserve">operating model </w:t>
      </w:r>
      <w:r>
        <w:t xml:space="preserve">and fixed at </w:t>
      </w:r>
      <w:r>
        <w:rPr>
          <w:i/>
        </w:rPr>
        <w:t>M</w:t>
      </w:r>
      <w:r>
        <w:rPr>
          <w:i/>
          <w:vertAlign w:val="subscript"/>
        </w:rPr>
        <w:t>historical</w:t>
      </w:r>
      <w:r>
        <w:t xml:space="preserve"> in the </w:t>
      </w:r>
      <w:r w:rsidR="007819B4">
        <w:t>estimation method</w:t>
      </w:r>
      <w:r>
        <w:t>.</w:t>
      </w:r>
    </w:p>
    <w:tbl>
      <w:tblPr>
        <w:tblW w:w="5320" w:type="dxa"/>
        <w:tblInd w:w="108" w:type="dxa"/>
        <w:tblLook w:val="04A0" w:firstRow="1" w:lastRow="0" w:firstColumn="1" w:lastColumn="0" w:noHBand="0" w:noVBand="1"/>
      </w:tblPr>
      <w:tblGrid>
        <w:gridCol w:w="1260"/>
        <w:gridCol w:w="1260"/>
        <w:gridCol w:w="700"/>
        <w:gridCol w:w="718"/>
        <w:gridCol w:w="718"/>
        <w:gridCol w:w="718"/>
      </w:tblGrid>
      <w:tr w:rsidR="0088106B" w:rsidRPr="0088106B" w:rsidTr="004B63B5">
        <w:trPr>
          <w:trHeight w:val="315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106B" w:rsidRPr="0088106B" w:rsidRDefault="00386255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RE </w:t>
            </w:r>
            <w:r w:rsidR="0088106B"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metric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106B" w:rsidRPr="0088106B" w:rsidRDefault="0088106B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category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106B" w:rsidRPr="0088106B" w:rsidRDefault="0088106B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dof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106B" w:rsidRPr="0088106B" w:rsidRDefault="0088106B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MSE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106B" w:rsidRPr="0088106B" w:rsidRDefault="0088106B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106B" w:rsidRPr="0088106B" w:rsidRDefault="00914643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</w:t>
            </w:r>
            <w:r w:rsidR="0088106B"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(&gt;F)</w:t>
            </w: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terminal </w:t>
            </w: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SSB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species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0.081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1.740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0.176</w:t>
            </w: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0.930</w:t>
            </w: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species *</w:t>
            </w: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 xml:space="preserve"> 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0.976</w:t>
            </w: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residual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594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terminal </w:t>
            </w: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species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0.048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0.663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0.516</w:t>
            </w: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1.812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0.179</w:t>
            </w: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species *</w:t>
            </w: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 xml:space="preserve"> 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0.198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0.821</w:t>
            </w: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residual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594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88106B" w:rsidRPr="0088106B" w:rsidTr="00386255">
        <w:trPr>
          <w:trHeight w:val="300"/>
        </w:trPr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88106B" w:rsidRPr="0088106B" w:rsidRDefault="0088106B" w:rsidP="0038625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TAC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species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2.053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0.129</w:t>
            </w:r>
          </w:p>
        </w:tc>
      </w:tr>
      <w:tr w:rsidR="0088106B" w:rsidRPr="0088106B" w:rsidTr="0088106B">
        <w:trPr>
          <w:trHeight w:val="300"/>
        </w:trPr>
        <w:tc>
          <w:tcPr>
            <w:tcW w:w="12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0.504</w:t>
            </w:r>
          </w:p>
        </w:tc>
      </w:tr>
      <w:tr w:rsidR="0088106B" w:rsidRPr="0088106B" w:rsidTr="0088106B">
        <w:trPr>
          <w:trHeight w:val="300"/>
        </w:trPr>
        <w:tc>
          <w:tcPr>
            <w:tcW w:w="12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species *</w:t>
            </w:r>
            <w:r w:rsidRPr="0088106B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 xml:space="preserve"> 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1.044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0.353</w:t>
            </w:r>
          </w:p>
        </w:tc>
      </w:tr>
      <w:tr w:rsidR="0088106B" w:rsidRPr="0088106B" w:rsidTr="0088106B">
        <w:trPr>
          <w:trHeight w:val="315"/>
        </w:trPr>
        <w:tc>
          <w:tcPr>
            <w:tcW w:w="12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88106B" w:rsidRPr="0088106B" w:rsidRDefault="0088106B" w:rsidP="008810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residual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594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0.068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06B" w:rsidRPr="0088106B" w:rsidRDefault="0088106B" w:rsidP="00881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8106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602D8F" w:rsidRPr="00602D8F" w:rsidRDefault="00602D8F" w:rsidP="00974C39"/>
    <w:p w:rsidR="00974C39" w:rsidRDefault="00974C39" w:rsidP="00974C39">
      <w:r>
        <w:t>Table</w:t>
      </w:r>
      <w:r w:rsidR="00723B6C">
        <w:t xml:space="preserve"> </w:t>
      </w:r>
      <w:r>
        <w:t>S</w:t>
      </w:r>
      <w:r w:rsidR="0088106B">
        <w:t>3</w:t>
      </w:r>
      <w:r>
        <w:t>.</w:t>
      </w:r>
      <w:r w:rsidR="0022312E">
        <w:t xml:space="preserve"> </w:t>
      </w:r>
      <w:r w:rsidR="007819B4">
        <w:t>Median absolute relative errors (</w:t>
      </w:r>
      <w:r w:rsidR="0022312E">
        <w:t>MAREs</w:t>
      </w:r>
      <w:r w:rsidR="007819B4">
        <w:t>)</w:t>
      </w:r>
      <w:r w:rsidR="0022312E">
        <w:t xml:space="preserve"> in parameter estimates for the flatfish-like life history. Values are reported for the self-test (i.e. time invariant </w:t>
      </w:r>
      <w:r w:rsidR="008A28F7">
        <w:rPr>
          <w:rFonts w:cs="Times New Roman"/>
          <w:i/>
        </w:rPr>
        <w:t xml:space="preserve">M </w:t>
      </w:r>
      <w:r w:rsidR="0022312E">
        <w:rPr>
          <w:rFonts w:cs="Times New Roman"/>
        </w:rPr>
        <w:t xml:space="preserve">in the </w:t>
      </w:r>
      <w:r w:rsidR="007819B4">
        <w:rPr>
          <w:rFonts w:cs="Times New Roman"/>
        </w:rPr>
        <w:t xml:space="preserve">operating model </w:t>
      </w:r>
      <w:r w:rsidR="0022312E">
        <w:rPr>
          <w:rFonts w:cs="Times New Roman"/>
        </w:rPr>
        <w:t xml:space="preserve">and a correctly specified </w:t>
      </w:r>
      <w:r w:rsidR="007819B4">
        <w:rPr>
          <w:rFonts w:cs="Times New Roman"/>
        </w:rPr>
        <w:t>estimation method</w:t>
      </w:r>
      <w:r w:rsidR="0022312E">
        <w:rPr>
          <w:rFonts w:cs="Times New Roman"/>
        </w:rPr>
        <w:t xml:space="preserve">) for </w:t>
      </w:r>
      <w:r w:rsidR="0022312E">
        <w:t>each of the three fishing patterns: constant, increase, and contrast.</w:t>
      </w:r>
    </w:p>
    <w:tbl>
      <w:tblPr>
        <w:tblW w:w="89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693"/>
        <w:gridCol w:w="657"/>
        <w:gridCol w:w="630"/>
        <w:gridCol w:w="630"/>
        <w:gridCol w:w="855"/>
        <w:gridCol w:w="693"/>
        <w:gridCol w:w="693"/>
        <w:gridCol w:w="693"/>
        <w:gridCol w:w="693"/>
        <w:gridCol w:w="693"/>
      </w:tblGrid>
      <w:tr w:rsidR="006A4034" w:rsidRPr="00F22709" w:rsidTr="004B63B5">
        <w:trPr>
          <w:trHeight w:val="645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F22709" w:rsidRPr="004B63B5" w:rsidRDefault="004B63B5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val="en-US"/>
              </w:rPr>
            </w:pPr>
            <w:r w:rsidRPr="004B63B5">
              <w:rPr>
                <w:rFonts w:ascii="Calibri" w:eastAsia="Times New Roman" w:hAnsi="Calibri" w:cs="Times New Roman"/>
                <w:i/>
                <w:color w:val="000000"/>
                <w:lang w:val="en-US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F22709" w:rsidRPr="00F22709" w:rsidRDefault="004B63B5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EM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R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7819B4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Q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L</w:t>
            </w:r>
            <w:r w:rsidRPr="00F22709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K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Cv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  <w:lang w:val="en-US"/>
              </w:rPr>
              <w:t>young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Cv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  <w:lang w:val="en-US"/>
              </w:rPr>
              <w:t>old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  <w:r w:rsidRPr="00F22709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  <w:r w:rsidRPr="00F22709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  <w:r w:rsidRPr="00F22709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F22709" w:rsidRDefault="00F22709" w:rsidP="004B63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  <w:r w:rsidRPr="00F22709">
              <w:rPr>
                <w:rFonts w:ascii="Calibri" w:eastAsia="Times New Roman" w:hAnsi="Calibri" w:cs="Times New Roman"/>
                <w:color w:val="000000"/>
                <w:vertAlign w:val="subscript"/>
                <w:lang w:val="en-US"/>
              </w:rPr>
              <w:t>4</w:t>
            </w:r>
          </w:p>
        </w:tc>
      </w:tr>
      <w:tr w:rsidR="006A4034" w:rsidRPr="00F22709" w:rsidTr="004B63B5">
        <w:trPr>
          <w:trHeight w:val="540"/>
        </w:trPr>
        <w:tc>
          <w:tcPr>
            <w:tcW w:w="45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Constant F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Estimated 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6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0.21</w:t>
            </w:r>
          </w:p>
        </w:tc>
        <w:tc>
          <w:tcPr>
            <w:tcW w:w="6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0.22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0.03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85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0.16</w:t>
            </w:r>
          </w:p>
        </w:tc>
        <w:tc>
          <w:tcPr>
            <w:tcW w:w="6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6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6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0.15</w:t>
            </w:r>
          </w:p>
        </w:tc>
      </w:tr>
      <w:tr w:rsidR="006A4034" w:rsidRPr="00F22709" w:rsidTr="004B63B5">
        <w:trPr>
          <w:trHeight w:val="540"/>
        </w:trPr>
        <w:tc>
          <w:tcPr>
            <w:tcW w:w="45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22709" w:rsidRPr="00F22709" w:rsidRDefault="00F22709" w:rsidP="00F227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Fixed 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0.16</w:t>
            </w:r>
          </w:p>
        </w:tc>
      </w:tr>
      <w:tr w:rsidR="006A4034" w:rsidRPr="00F22709" w:rsidTr="004B63B5">
        <w:trPr>
          <w:trHeight w:val="540"/>
        </w:trPr>
        <w:tc>
          <w:tcPr>
            <w:tcW w:w="45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Increase 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Estimated 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</w:tr>
      <w:tr w:rsidR="006A4034" w:rsidRPr="00F22709" w:rsidTr="004B63B5">
        <w:trPr>
          <w:trHeight w:val="540"/>
        </w:trPr>
        <w:tc>
          <w:tcPr>
            <w:tcW w:w="45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22709" w:rsidRPr="00F22709" w:rsidRDefault="00F22709" w:rsidP="00F227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Fixed 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</w:tr>
      <w:tr w:rsidR="006A4034" w:rsidRPr="00F22709" w:rsidTr="004B63B5">
        <w:trPr>
          <w:trHeight w:val="540"/>
        </w:trPr>
        <w:tc>
          <w:tcPr>
            <w:tcW w:w="45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Contrast 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Estimated 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0.16</w:t>
            </w:r>
          </w:p>
        </w:tc>
      </w:tr>
      <w:tr w:rsidR="006A4034" w:rsidRPr="00F22709" w:rsidTr="004B63B5">
        <w:trPr>
          <w:trHeight w:val="540"/>
        </w:trPr>
        <w:tc>
          <w:tcPr>
            <w:tcW w:w="45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22709" w:rsidRPr="00F22709" w:rsidRDefault="00F22709" w:rsidP="00F227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Fixed 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M</w:t>
            </w:r>
            <w:r w:rsidRPr="00F22709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F22709" w:rsidRDefault="00F22709" w:rsidP="00F227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22709">
              <w:rPr>
                <w:rFonts w:ascii="Calibri" w:eastAsia="Times New Roman" w:hAnsi="Calibri" w:cs="Times New Roman"/>
                <w:color w:val="000000"/>
                <w:lang w:val="en-US"/>
              </w:rPr>
              <w:t>0.16</w:t>
            </w:r>
          </w:p>
        </w:tc>
      </w:tr>
    </w:tbl>
    <w:p w:rsidR="00974C39" w:rsidRDefault="00974C39" w:rsidP="00974C39"/>
    <w:p w:rsidR="00150490" w:rsidRDefault="00150490">
      <w:r>
        <w:br w:type="page"/>
      </w:r>
    </w:p>
    <w:p w:rsidR="00974C39" w:rsidRDefault="00974C39" w:rsidP="00974C39">
      <w:r>
        <w:lastRenderedPageBreak/>
        <w:t>Table S</w:t>
      </w:r>
      <w:r w:rsidR="00150490">
        <w:t>4</w:t>
      </w:r>
      <w:r>
        <w:t>.</w:t>
      </w:r>
      <w:r w:rsidR="0022312E">
        <w:t xml:space="preserve"> </w:t>
      </w:r>
      <w:r w:rsidR="007819B4">
        <w:t>Median absolute relative errors (</w:t>
      </w:r>
      <w:r w:rsidR="0022312E">
        <w:t>MAREs</w:t>
      </w:r>
      <w:r w:rsidR="007819B4">
        <w:t>)</w:t>
      </w:r>
      <w:r w:rsidR="0022312E">
        <w:t xml:space="preserve"> in parameter estimates for the sardine-like life history. Values are reported for the self-test (i.e. time invariant </w:t>
      </w:r>
      <w:r w:rsidR="008A28F7">
        <w:rPr>
          <w:rFonts w:cs="Times New Roman"/>
          <w:i/>
        </w:rPr>
        <w:t>M</w:t>
      </w:r>
      <w:r w:rsidR="0022312E">
        <w:rPr>
          <w:rFonts w:cs="Times New Roman"/>
        </w:rPr>
        <w:t xml:space="preserve"> in the </w:t>
      </w:r>
      <w:r w:rsidR="007819B4">
        <w:rPr>
          <w:rFonts w:cs="Times New Roman"/>
        </w:rPr>
        <w:t>operating model</w:t>
      </w:r>
      <w:r w:rsidR="0022312E">
        <w:rPr>
          <w:rFonts w:cs="Times New Roman"/>
        </w:rPr>
        <w:t xml:space="preserve"> and a correctly specified </w:t>
      </w:r>
      <w:r w:rsidR="007819B4">
        <w:rPr>
          <w:rFonts w:cs="Times New Roman"/>
        </w:rPr>
        <w:t>estimation method</w:t>
      </w:r>
      <w:r w:rsidR="0022312E">
        <w:rPr>
          <w:rFonts w:cs="Times New Roman"/>
        </w:rPr>
        <w:t xml:space="preserve">) for </w:t>
      </w:r>
      <w:r w:rsidR="0022312E">
        <w:t>each of the three fishing patterns: constant, increase, and contrast.</w:t>
      </w:r>
    </w:p>
    <w:tbl>
      <w:tblPr>
        <w:tblW w:w="88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684"/>
        <w:gridCol w:w="684"/>
        <w:gridCol w:w="612"/>
        <w:gridCol w:w="630"/>
        <w:gridCol w:w="810"/>
        <w:gridCol w:w="684"/>
        <w:gridCol w:w="684"/>
        <w:gridCol w:w="684"/>
        <w:gridCol w:w="684"/>
        <w:gridCol w:w="684"/>
      </w:tblGrid>
      <w:tr w:rsidR="00386255" w:rsidRPr="004B63B5" w:rsidTr="004B63B5">
        <w:trPr>
          <w:trHeight w:val="485"/>
        </w:trPr>
        <w:tc>
          <w:tcPr>
            <w:tcW w:w="4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F22709" w:rsidRPr="004B63B5" w:rsidRDefault="004B63B5" w:rsidP="004B63B5">
            <w:pPr>
              <w:spacing w:after="0" w:line="240" w:lineRule="auto"/>
              <w:jc w:val="center"/>
              <w:rPr>
                <w:rFonts w:eastAsia="Times New Roman" w:cs="Times New Roman"/>
                <w:i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i/>
                <w:color w:val="000000"/>
                <w:lang w:val="en-US"/>
              </w:rPr>
              <w:t>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F22709" w:rsidRPr="004B63B5" w:rsidRDefault="004B63B5" w:rsidP="004B63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EM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R0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q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L</w:t>
            </w:r>
            <w:r w:rsidRPr="004B63B5">
              <w:rPr>
                <w:rFonts w:eastAsia="Times New Roman" w:cs="Times New Roman"/>
                <w:color w:val="000000"/>
                <w:vertAlign w:val="subscript"/>
                <w:lang w:val="en-US"/>
              </w:rP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K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Cv</w:t>
            </w:r>
            <w:r w:rsidRPr="004B63B5">
              <w:rPr>
                <w:rFonts w:eastAsia="Times New Roman" w:cs="Times New Roman"/>
                <w:i/>
                <w:iCs/>
                <w:color w:val="000000"/>
                <w:vertAlign w:val="subscript"/>
                <w:lang w:val="en-US"/>
              </w:rPr>
              <w:t>young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Cv</w:t>
            </w:r>
            <w:r w:rsidRPr="004B63B5">
              <w:rPr>
                <w:rFonts w:eastAsia="Times New Roman" w:cs="Times New Roman"/>
                <w:i/>
                <w:iCs/>
                <w:color w:val="000000"/>
                <w:vertAlign w:val="subscript"/>
                <w:lang w:val="en-US"/>
              </w:rPr>
              <w:t>old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S</w:t>
            </w:r>
            <w:r w:rsidRPr="004B63B5">
              <w:rPr>
                <w:rFonts w:eastAsia="Times New Roman" w:cs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S</w:t>
            </w:r>
            <w:r w:rsidRPr="004B63B5">
              <w:rPr>
                <w:rFonts w:eastAsia="Times New Roman" w:cs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S</w:t>
            </w:r>
            <w:r w:rsidRPr="004B63B5">
              <w:rPr>
                <w:rFonts w:eastAsia="Times New Roman" w:cs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2709" w:rsidRPr="004B63B5" w:rsidRDefault="00F22709" w:rsidP="004B63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S</w:t>
            </w:r>
            <w:r w:rsidRPr="004B63B5">
              <w:rPr>
                <w:rFonts w:eastAsia="Times New Roman" w:cs="Times New Roman"/>
                <w:color w:val="000000"/>
                <w:vertAlign w:val="subscript"/>
                <w:lang w:val="en-US"/>
              </w:rPr>
              <w:t>4</w:t>
            </w:r>
          </w:p>
        </w:tc>
      </w:tr>
      <w:tr w:rsidR="00386255" w:rsidRPr="004B63B5" w:rsidTr="004B63B5">
        <w:trPr>
          <w:trHeight w:val="540"/>
        </w:trPr>
        <w:tc>
          <w:tcPr>
            <w:tcW w:w="450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22709" w:rsidRPr="004B63B5" w:rsidRDefault="00F22709" w:rsidP="003862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Constant F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 xml:space="preserve">Estimated </w:t>
            </w: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0.24</w:t>
            </w:r>
          </w:p>
        </w:tc>
        <w:tc>
          <w:tcPr>
            <w:tcW w:w="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0.19</w:t>
            </w:r>
          </w:p>
        </w:tc>
        <w:tc>
          <w:tcPr>
            <w:tcW w:w="61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0.03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0.05</w:t>
            </w:r>
          </w:p>
        </w:tc>
        <w:tc>
          <w:tcPr>
            <w:tcW w:w="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0.10</w:t>
            </w:r>
          </w:p>
        </w:tc>
        <w:tc>
          <w:tcPr>
            <w:tcW w:w="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0.05</w:t>
            </w:r>
          </w:p>
        </w:tc>
        <w:tc>
          <w:tcPr>
            <w:tcW w:w="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0.02</w:t>
            </w:r>
          </w:p>
        </w:tc>
        <w:tc>
          <w:tcPr>
            <w:tcW w:w="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0.08</w:t>
            </w:r>
          </w:p>
        </w:tc>
      </w:tr>
      <w:tr w:rsidR="00386255" w:rsidRPr="004B63B5" w:rsidTr="004B63B5">
        <w:trPr>
          <w:trHeight w:val="540"/>
        </w:trPr>
        <w:tc>
          <w:tcPr>
            <w:tcW w:w="45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22709" w:rsidRPr="004B63B5" w:rsidRDefault="00F22709" w:rsidP="003862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 xml:space="preserve">Fixed </w:t>
            </w: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M</w:t>
            </w:r>
            <w:r w:rsidRPr="004B63B5">
              <w:rPr>
                <w:rFonts w:eastAsia="Times New Roman" w:cs="Times New Roman"/>
                <w:i/>
                <w:iCs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0.08</w:t>
            </w:r>
          </w:p>
        </w:tc>
      </w:tr>
      <w:tr w:rsidR="00386255" w:rsidRPr="004B63B5" w:rsidTr="004B63B5">
        <w:trPr>
          <w:trHeight w:val="540"/>
        </w:trPr>
        <w:tc>
          <w:tcPr>
            <w:tcW w:w="4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22709" w:rsidRPr="004B63B5" w:rsidRDefault="00F22709" w:rsidP="003862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Increase 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 xml:space="preserve">Estimated </w:t>
            </w: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0.09</w:t>
            </w:r>
          </w:p>
        </w:tc>
      </w:tr>
      <w:tr w:rsidR="00386255" w:rsidRPr="004B63B5" w:rsidTr="004B63B5">
        <w:trPr>
          <w:trHeight w:val="540"/>
        </w:trPr>
        <w:tc>
          <w:tcPr>
            <w:tcW w:w="4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2709" w:rsidRPr="004B63B5" w:rsidRDefault="00F22709" w:rsidP="003862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 xml:space="preserve">Fixed </w:t>
            </w: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M</w:t>
            </w:r>
            <w:r w:rsidRPr="004B63B5">
              <w:rPr>
                <w:rFonts w:eastAsia="Times New Roman" w:cs="Times New Roman"/>
                <w:i/>
                <w:iCs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0.08</w:t>
            </w:r>
          </w:p>
        </w:tc>
      </w:tr>
      <w:tr w:rsidR="00386255" w:rsidRPr="004B63B5" w:rsidTr="004B63B5">
        <w:trPr>
          <w:trHeight w:val="540"/>
        </w:trPr>
        <w:tc>
          <w:tcPr>
            <w:tcW w:w="45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22709" w:rsidRPr="004B63B5" w:rsidRDefault="00F22709" w:rsidP="003862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Contrast F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 xml:space="preserve">Estimated </w:t>
            </w: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M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0.21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0.08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0.04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0.14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0.03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0.02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0.08</w:t>
            </w:r>
          </w:p>
        </w:tc>
      </w:tr>
      <w:tr w:rsidR="00386255" w:rsidRPr="004B63B5" w:rsidTr="004B63B5">
        <w:trPr>
          <w:trHeight w:val="540"/>
        </w:trPr>
        <w:tc>
          <w:tcPr>
            <w:tcW w:w="45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22709" w:rsidRPr="004B63B5" w:rsidRDefault="00F22709" w:rsidP="00F2270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 xml:space="preserve">Fixed </w:t>
            </w:r>
            <w:r w:rsidRPr="004B63B5">
              <w:rPr>
                <w:rFonts w:eastAsia="Times New Roman" w:cs="Times New Roman"/>
                <w:i/>
                <w:iCs/>
                <w:color w:val="000000"/>
                <w:lang w:val="en-US"/>
              </w:rPr>
              <w:t>M</w:t>
            </w:r>
            <w:r w:rsidRPr="004B63B5">
              <w:rPr>
                <w:rFonts w:eastAsia="Times New Roman" w:cs="Times New Roman"/>
                <w:i/>
                <w:iCs/>
                <w:color w:val="000000"/>
                <w:vertAlign w:val="subscript"/>
                <w:lang w:val="en-US"/>
              </w:rPr>
              <w:t>historical</w:t>
            </w: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0.14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2709" w:rsidRPr="004B63B5" w:rsidRDefault="00F22709" w:rsidP="00F227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4B63B5">
              <w:rPr>
                <w:rFonts w:eastAsia="Times New Roman" w:cs="Times New Roman"/>
                <w:color w:val="000000"/>
                <w:lang w:val="en-US"/>
              </w:rPr>
              <w:t>0.07</w:t>
            </w:r>
          </w:p>
        </w:tc>
      </w:tr>
    </w:tbl>
    <w:p w:rsidR="00974C39" w:rsidRPr="00974C39" w:rsidRDefault="00974C39" w:rsidP="00974C39"/>
    <w:p w:rsidR="00150490" w:rsidRDefault="00150490">
      <w:pPr>
        <w:rPr>
          <w:b/>
        </w:rPr>
      </w:pPr>
      <w:r>
        <w:rPr>
          <w:b/>
        </w:rPr>
        <w:br w:type="page"/>
      </w:r>
    </w:p>
    <w:p w:rsidR="00CB46A8" w:rsidRPr="00974C39" w:rsidRDefault="00B10688" w:rsidP="00974C39">
      <w:pPr>
        <w:rPr>
          <w:b/>
        </w:rPr>
      </w:pPr>
      <w:r w:rsidRPr="00974C39">
        <w:rPr>
          <w:b/>
        </w:rPr>
        <w:lastRenderedPageBreak/>
        <w:t>Supplementary Figures</w:t>
      </w:r>
    </w:p>
    <w:p w:rsidR="007A53CE" w:rsidRDefault="00B378E9" w:rsidP="003E0365">
      <w:pPr>
        <w:spacing w:line="480" w:lineRule="auto"/>
      </w:pPr>
      <w:r w:rsidRPr="00B378E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D20FD16" wp14:editId="259A39B1">
            <wp:extent cx="5731510" cy="4285241"/>
            <wp:effectExtent l="0" t="0" r="2540" b="1270"/>
            <wp:docPr id="1" name="Picture 1" descr="C:\Users\kelli\Dropbox\Mortality Paper\ms\Figures\final\Supple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li\Dropbox\Mortality Paper\ms\Figures\final\Supplemen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688">
        <w:t xml:space="preserve">Figure </w:t>
      </w:r>
      <w:r w:rsidR="00292DDA">
        <w:t>S</w:t>
      </w:r>
      <w:r w:rsidR="00B10688">
        <w:t xml:space="preserve">1. </w:t>
      </w:r>
      <w:r w:rsidR="00292DDA">
        <w:t xml:space="preserve">Centered </w:t>
      </w:r>
      <w:r w:rsidR="007819B4">
        <w:t>median absolute relative errors (</w:t>
      </w:r>
      <w:r w:rsidR="00292DDA">
        <w:t>MAREs</w:t>
      </w:r>
      <w:r w:rsidR="007819B4">
        <w:t>)</w:t>
      </w:r>
      <w:r w:rsidR="00B10688">
        <w:t xml:space="preserve"> </w:t>
      </w:r>
      <w:r w:rsidR="008A28F7">
        <w:t>(MARE</w:t>
      </w:r>
      <w:r w:rsidR="00E96345">
        <w:rPr>
          <w:vertAlign w:val="subscript"/>
        </w:rPr>
        <w:t>i</w:t>
      </w:r>
      <w:r w:rsidR="00E96345">
        <w:t xml:space="preserve"> – MARE</w:t>
      </w:r>
      <w:r w:rsidR="00E96345">
        <w:rPr>
          <w:vertAlign w:val="subscript"/>
        </w:rPr>
        <w:t>500</w:t>
      </w:r>
      <w:r w:rsidR="00E96345">
        <w:t xml:space="preserve">, where i = number of iterations used in calculation) </w:t>
      </w:r>
      <w:r w:rsidR="00B10688">
        <w:t xml:space="preserve">of </w:t>
      </w:r>
      <w:r w:rsidR="00B71D13" w:rsidRPr="00292DDA">
        <w:rPr>
          <w:i/>
        </w:rPr>
        <w:t>q</w:t>
      </w:r>
      <w:r w:rsidR="00B71D13">
        <w:t xml:space="preserve">, </w:t>
      </w:r>
      <w:r w:rsidR="00091A70" w:rsidRPr="00091A70">
        <w:rPr>
          <w:i/>
        </w:rPr>
        <w:t>R</w:t>
      </w:r>
      <w:r w:rsidR="00091A70" w:rsidRPr="00091A70">
        <w:rPr>
          <w:i/>
          <w:vertAlign w:val="subscript"/>
        </w:rPr>
        <w:t>0</w:t>
      </w:r>
      <w:r w:rsidR="00091A70">
        <w:t>,</w:t>
      </w:r>
      <w:r w:rsidR="00091A70">
        <w:rPr>
          <w:i/>
        </w:rPr>
        <w:t xml:space="preserve"> </w:t>
      </w:r>
      <w:r w:rsidR="00B10688" w:rsidRPr="00292DDA">
        <w:t>and</w:t>
      </w:r>
      <w:r w:rsidR="00B10688">
        <w:t xml:space="preserve"> </w:t>
      </w:r>
      <w:r w:rsidR="00292DDA">
        <w:rPr>
          <w:i/>
        </w:rPr>
        <w:t>TAC</w:t>
      </w:r>
      <w:r w:rsidR="00B10688">
        <w:t xml:space="preserve"> </w:t>
      </w:r>
      <w:r w:rsidR="00292DDA">
        <w:t xml:space="preserve">versus the number of replicates included in the calculation for the centered MARE </w:t>
      </w:r>
      <w:r w:rsidR="00B10688">
        <w:t>for cod fished at a</w:t>
      </w:r>
      <w:r w:rsidR="00292DDA">
        <w:t xml:space="preserve">n increasing </w:t>
      </w:r>
      <w:r w:rsidR="00B10688">
        <w:t xml:space="preserve">rate, where </w:t>
      </w:r>
      <w:r w:rsidR="00B10688">
        <w:rPr>
          <w:i/>
        </w:rPr>
        <w:t>M</w:t>
      </w:r>
      <w:r w:rsidR="00B10688">
        <w:t xml:space="preserve"> e</w:t>
      </w:r>
      <w:r w:rsidR="00292DDA">
        <w:t xml:space="preserve">ither (1) decreased in year 90 or </w:t>
      </w:r>
      <w:r w:rsidR="00B10688">
        <w:t>(2) remained constant</w:t>
      </w:r>
      <w:r w:rsidR="00292DDA">
        <w:t xml:space="preserve"> </w:t>
      </w:r>
      <w:r w:rsidR="007819B4">
        <w:t>in the operating model</w:t>
      </w:r>
      <w:r w:rsidR="00B10688">
        <w:t xml:space="preserve"> and was </w:t>
      </w:r>
      <w:r w:rsidR="00292DDA">
        <w:t xml:space="preserve">fixed at </w:t>
      </w:r>
      <w:r w:rsidR="00292DDA">
        <w:rPr>
          <w:i/>
        </w:rPr>
        <w:t>M</w:t>
      </w:r>
      <w:r w:rsidR="00292DDA">
        <w:rPr>
          <w:i/>
          <w:vertAlign w:val="subscript"/>
        </w:rPr>
        <w:t>low</w:t>
      </w:r>
      <w:r w:rsidR="00B10688">
        <w:t xml:space="preserve"> in the </w:t>
      </w:r>
      <w:r w:rsidR="007819B4">
        <w:t>estimation method</w:t>
      </w:r>
      <w:r w:rsidR="00B10688">
        <w:t xml:space="preserve">. </w:t>
      </w:r>
      <w:r w:rsidR="00E96345">
        <w:t>Centering the MAREs facilitates comparison across metrics.</w:t>
      </w:r>
    </w:p>
    <w:p w:rsidR="007A53CE" w:rsidRDefault="007A53CE">
      <w:r>
        <w:br w:type="page"/>
      </w:r>
    </w:p>
    <w:p w:rsidR="007A53CE" w:rsidRDefault="006D31ED" w:rsidP="003E0365">
      <w:pPr>
        <w:spacing w:line="480" w:lineRule="auto"/>
      </w:pPr>
      <w:r w:rsidRPr="006D31ED">
        <w:rPr>
          <w:noProof/>
          <w:lang w:eastAsia="en-GB"/>
        </w:rPr>
        <w:lastRenderedPageBreak/>
        <w:drawing>
          <wp:inline distT="0" distB="0" distL="0" distR="0">
            <wp:extent cx="5731510" cy="2870517"/>
            <wp:effectExtent l="0" t="0" r="2540" b="6350"/>
            <wp:docPr id="9" name="Picture 9" descr="C:\Users\kelli\Dropbox\Mortality Paper\ms\Figures\final\Figure5_f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li\Dropbox\Mortality Paper\ms\Figures\final\Figure5_fl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3CE">
        <w:t xml:space="preserve">Figure </w:t>
      </w:r>
      <w:r w:rsidR="0064332A">
        <w:t>S</w:t>
      </w:r>
      <w:r>
        <w:t>2</w:t>
      </w:r>
      <w:r w:rsidR="007A53CE">
        <w:t xml:space="preserve">. Boxplots for the </w:t>
      </w:r>
      <w:r w:rsidR="007819B4">
        <w:t>relative errors (</w:t>
      </w:r>
      <w:r w:rsidR="007A53CE">
        <w:t>REs</w:t>
      </w:r>
      <w:r w:rsidR="007819B4">
        <w:t>)</w:t>
      </w:r>
      <w:r w:rsidR="007A53CE">
        <w:t xml:space="preserve"> in </w:t>
      </w:r>
      <w:r w:rsidR="007A53CE">
        <w:rPr>
          <w:i/>
        </w:rPr>
        <w:t>M</w:t>
      </w:r>
      <w:r w:rsidR="007819B4">
        <w:rPr>
          <w:i/>
          <w:vertAlign w:val="subscript"/>
        </w:rPr>
        <w:t>historical</w:t>
      </w:r>
      <w:r w:rsidR="007A53CE">
        <w:t xml:space="preserve"> for the flatfish-like life history.</w:t>
      </w:r>
    </w:p>
    <w:p w:rsidR="007A53CE" w:rsidRDefault="006D31ED" w:rsidP="003E0365">
      <w:pPr>
        <w:spacing w:line="480" w:lineRule="auto"/>
      </w:pPr>
      <w:r w:rsidRPr="006D31ED">
        <w:rPr>
          <w:noProof/>
          <w:lang w:eastAsia="en-GB"/>
        </w:rPr>
        <w:drawing>
          <wp:inline distT="0" distB="0" distL="0" distR="0">
            <wp:extent cx="5731510" cy="2870517"/>
            <wp:effectExtent l="0" t="0" r="2540" b="6350"/>
            <wp:docPr id="10" name="Picture 10" descr="C:\Users\kelli\Dropbox\Mortality Paper\ms\Figures\final\Figure5_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li\Dropbox\Mortality Paper\ms\Figures\final\Figure5_s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3CE">
        <w:t xml:space="preserve">Figure </w:t>
      </w:r>
      <w:r w:rsidR="0064332A">
        <w:t>S</w:t>
      </w:r>
      <w:r>
        <w:t>3</w:t>
      </w:r>
      <w:r w:rsidR="007A53CE">
        <w:t xml:space="preserve">. Boxplots for the </w:t>
      </w:r>
      <w:r w:rsidR="007819B4">
        <w:t>relative errors (</w:t>
      </w:r>
      <w:r w:rsidR="007A53CE">
        <w:t>REs</w:t>
      </w:r>
      <w:r w:rsidR="007819B4">
        <w:t>)</w:t>
      </w:r>
      <w:r w:rsidR="007A53CE">
        <w:t xml:space="preserve"> in </w:t>
      </w:r>
      <w:r w:rsidR="007A53CE">
        <w:rPr>
          <w:i/>
        </w:rPr>
        <w:t>M</w:t>
      </w:r>
      <w:r w:rsidR="007819B4">
        <w:rPr>
          <w:i/>
          <w:vertAlign w:val="subscript"/>
        </w:rPr>
        <w:t>historical</w:t>
      </w:r>
      <w:r w:rsidR="007A53CE">
        <w:t xml:space="preserve"> for the sardine-like life history. </w:t>
      </w:r>
      <w:r w:rsidR="00B378E9">
        <w:t xml:space="preserve">Rows without boxplots indicates scenarios </w:t>
      </w:r>
      <w:r w:rsidR="0064332A">
        <w:t xml:space="preserve">where the optimization algorithm </w:t>
      </w:r>
      <w:r w:rsidR="00B378E9">
        <w:t xml:space="preserve">failed to converge. </w:t>
      </w:r>
    </w:p>
    <w:p w:rsidR="007A53CE" w:rsidRDefault="007A53CE" w:rsidP="003E0365">
      <w:pPr>
        <w:spacing w:line="480" w:lineRule="auto"/>
      </w:pPr>
    </w:p>
    <w:p w:rsidR="00956EF4" w:rsidRDefault="00956EF4">
      <w:r>
        <w:br w:type="page"/>
      </w:r>
    </w:p>
    <w:p w:rsidR="00150490" w:rsidRDefault="000E5187" w:rsidP="006D31ED">
      <w:pPr>
        <w:spacing w:line="48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4926208" cy="6159398"/>
            <wp:effectExtent l="0" t="0" r="8255" b="0"/>
            <wp:docPr id="2" name="Picture 2" descr="C:\Users\kelli\Dropbox\Mortality Paper\ms\Figures\final\Figure5_f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li\Dropbox\Mortality Paper\ms\Figures\final\Figure5_fl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134" cy="61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EF4" w:rsidRDefault="007A53CE" w:rsidP="006D31ED">
      <w:pPr>
        <w:spacing w:line="480" w:lineRule="auto"/>
        <w:rPr>
          <w:rFonts w:cs="Times New Roman"/>
        </w:rPr>
      </w:pPr>
      <w:r>
        <w:t xml:space="preserve">Figure </w:t>
      </w:r>
      <w:r w:rsidR="0064332A">
        <w:t>S</w:t>
      </w:r>
      <w:r w:rsidR="006D31ED">
        <w:t>4</w:t>
      </w:r>
      <w:r>
        <w:t xml:space="preserve">. </w:t>
      </w:r>
      <w:r w:rsidR="00956EF4" w:rsidRPr="00266754">
        <w:rPr>
          <w:rFonts w:cs="Times New Roman"/>
        </w:rPr>
        <w:t xml:space="preserve">Time trajectories of </w:t>
      </w:r>
      <w:r w:rsidR="007819B4">
        <w:rPr>
          <w:rFonts w:cs="Times New Roman"/>
        </w:rPr>
        <w:t>relative error (</w:t>
      </w:r>
      <w:r w:rsidR="00956EF4" w:rsidRPr="00266754">
        <w:rPr>
          <w:rFonts w:cs="Times New Roman"/>
        </w:rPr>
        <w:t>RE</w:t>
      </w:r>
      <w:r w:rsidR="007819B4">
        <w:rPr>
          <w:rFonts w:cs="Times New Roman"/>
        </w:rPr>
        <w:t>)</w:t>
      </w:r>
      <w:r w:rsidR="00956EF4">
        <w:rPr>
          <w:rFonts w:cs="Times New Roman"/>
        </w:rPr>
        <w:t xml:space="preserve"> for </w:t>
      </w:r>
      <w:r w:rsidR="00956EF4">
        <w:rPr>
          <w:rFonts w:cs="Times New Roman"/>
          <w:i/>
        </w:rPr>
        <w:t>SSB</w:t>
      </w:r>
      <w:r w:rsidR="00956EF4">
        <w:rPr>
          <w:rFonts w:cs="Times New Roman"/>
        </w:rPr>
        <w:t xml:space="preserve"> for the flatfish-like life-</w:t>
      </w:r>
      <w:r w:rsidR="00956EF4" w:rsidRPr="00266754">
        <w:rPr>
          <w:rFonts w:cs="Times New Roman"/>
        </w:rPr>
        <w:t>history type under a contrast fishing scenario when the true</w:t>
      </w:r>
      <w:r w:rsidR="00956EF4">
        <w:rPr>
          <w:rFonts w:cs="Times New Roman"/>
        </w:rPr>
        <w:t xml:space="preserve"> </w:t>
      </w:r>
      <w:r w:rsidR="00956EF4">
        <w:rPr>
          <w:rFonts w:cs="Times New Roman"/>
          <w:i/>
        </w:rPr>
        <w:t>M</w:t>
      </w:r>
      <w:r w:rsidR="00956EF4" w:rsidRPr="00266754">
        <w:rPr>
          <w:rFonts w:cs="Times New Roman"/>
        </w:rPr>
        <w:t xml:space="preserve"> changed in a bloc</w:t>
      </w:r>
      <w:r w:rsidR="00956EF4">
        <w:rPr>
          <w:rFonts w:cs="Times New Roman"/>
        </w:rPr>
        <w:t xml:space="preserve">k like fashion in years 50 </w:t>
      </w:r>
      <w:r w:rsidR="00956EF4" w:rsidRPr="00266754">
        <w:rPr>
          <w:rFonts w:cs="Times New Roman"/>
        </w:rPr>
        <w:t>or 90 or was constant across all years</w:t>
      </w:r>
      <w:r w:rsidR="00576FE6">
        <w:rPr>
          <w:rFonts w:cs="Times New Roman"/>
        </w:rPr>
        <w:t>.</w:t>
      </w:r>
      <w:r w:rsidR="00956EF4" w:rsidRPr="00266754">
        <w:rPr>
          <w:rFonts w:cs="Times New Roman"/>
        </w:rPr>
        <w:t xml:space="preserve"> </w:t>
      </w:r>
      <w:r w:rsidR="00956EF4">
        <w:rPr>
          <w:rFonts w:cs="Times New Roman"/>
        </w:rPr>
        <w:t xml:space="preserve"> </w:t>
      </w:r>
      <w:r w:rsidR="00956EF4">
        <w:rPr>
          <w:rFonts w:cs="Times New Roman"/>
          <w:i/>
        </w:rPr>
        <w:t>M</w:t>
      </w:r>
      <w:r w:rsidR="00956EF4">
        <w:rPr>
          <w:rFonts w:cs="Times New Roman"/>
        </w:rPr>
        <w:t xml:space="preserve"> </w:t>
      </w:r>
      <w:r w:rsidR="00956EF4" w:rsidRPr="00266754">
        <w:rPr>
          <w:rFonts w:cs="Times New Roman"/>
        </w:rPr>
        <w:t>was either estimated, fixed at a high value, or fixed at a low value. Values of zero (dashed line) indicate no difference between the operating model</w:t>
      </w:r>
      <w:r w:rsidR="00956EF4">
        <w:rPr>
          <w:rFonts w:cs="Times New Roman"/>
        </w:rPr>
        <w:t xml:space="preserve"> value </w:t>
      </w:r>
      <w:r w:rsidR="00956EF4" w:rsidRPr="00266754">
        <w:rPr>
          <w:rFonts w:cs="Times New Roman"/>
        </w:rPr>
        <w:t xml:space="preserve">and </w:t>
      </w:r>
      <w:r w:rsidR="00956EF4">
        <w:rPr>
          <w:rFonts w:cs="Times New Roman"/>
        </w:rPr>
        <w:t xml:space="preserve">the </w:t>
      </w:r>
      <w:r w:rsidR="00956EF4" w:rsidRPr="00266754">
        <w:rPr>
          <w:rFonts w:cs="Times New Roman"/>
        </w:rPr>
        <w:t>estimate from the estimation</w:t>
      </w:r>
      <w:r w:rsidR="00956EF4">
        <w:rPr>
          <w:rFonts w:cs="Times New Roman"/>
        </w:rPr>
        <w:t xml:space="preserve"> method.</w:t>
      </w:r>
      <w:r w:rsidR="00956EF4" w:rsidRPr="00266754">
        <w:rPr>
          <w:rFonts w:cs="Times New Roman"/>
        </w:rPr>
        <w:t xml:space="preserve"> </w:t>
      </w:r>
      <w:r w:rsidR="00956EF4">
        <w:rPr>
          <w:rFonts w:cs="Times New Roman"/>
        </w:rPr>
        <w:t xml:space="preserve">The solid vertical line indicates the year that </w:t>
      </w:r>
      <w:r w:rsidR="00956EF4">
        <w:rPr>
          <w:rFonts w:cs="Times New Roman"/>
          <w:i/>
        </w:rPr>
        <w:t>M</w:t>
      </w:r>
      <w:r w:rsidR="00956EF4">
        <w:rPr>
          <w:rFonts w:cs="Times New Roman"/>
        </w:rPr>
        <w:t xml:space="preserve"> changed to </w:t>
      </w:r>
      <w:r w:rsidR="00956EF4">
        <w:rPr>
          <w:rFonts w:cs="Times New Roman"/>
          <w:i/>
        </w:rPr>
        <w:t>M*</w:t>
      </w:r>
      <w:r w:rsidR="00956EF4">
        <w:rPr>
          <w:rFonts w:cs="Times New Roman"/>
        </w:rPr>
        <w:t xml:space="preserve">. The shaded regions cover </w:t>
      </w:r>
      <w:r w:rsidR="00956EF4" w:rsidRPr="00EF27AF">
        <w:rPr>
          <w:rFonts w:cs="Times New Roman"/>
        </w:rPr>
        <w:t>50% and 9</w:t>
      </w:r>
      <w:r w:rsidR="00956EF4">
        <w:rPr>
          <w:rFonts w:cs="Times New Roman"/>
        </w:rPr>
        <w:t>0</w:t>
      </w:r>
      <w:r w:rsidR="00956EF4" w:rsidRPr="00EF27AF">
        <w:rPr>
          <w:rFonts w:cs="Times New Roman"/>
        </w:rPr>
        <w:t>% of the relative errors</w:t>
      </w:r>
      <w:r w:rsidR="00956EF4">
        <w:rPr>
          <w:rFonts w:cs="Times New Roman"/>
        </w:rPr>
        <w:t>, and the line denotes the median.</w:t>
      </w:r>
      <w:r w:rsidR="00150490">
        <w:rPr>
          <w:rFonts w:cs="Times New Roman"/>
        </w:rPr>
        <w:t xml:space="preserve"> Empty plots indicate scenarios</w:t>
      </w:r>
      <w:r w:rsidR="0064332A">
        <w:rPr>
          <w:rFonts w:cs="Times New Roman"/>
        </w:rPr>
        <w:t xml:space="preserve"> where the optimization algorithm</w:t>
      </w:r>
      <w:r w:rsidR="00150490">
        <w:rPr>
          <w:rFonts w:cs="Times New Roman"/>
        </w:rPr>
        <w:t xml:space="preserve"> failed to converge.</w:t>
      </w:r>
    </w:p>
    <w:p w:rsidR="00150490" w:rsidRDefault="000E5187" w:rsidP="006D31ED">
      <w:pPr>
        <w:spacing w:line="48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003597" cy="6256160"/>
            <wp:effectExtent l="0" t="0" r="6985" b="0"/>
            <wp:docPr id="3" name="Picture 3" descr="C:\Users\kelli\Dropbox\Mortality Paper\ms\Figures\final\Figure5_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li\Dropbox\Mortality Paper\ms\Figures\final\Figure5_s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95" cy="62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35" w:rsidRDefault="00956EF4" w:rsidP="006D31ED">
      <w:pPr>
        <w:spacing w:line="480" w:lineRule="auto"/>
        <w:rPr>
          <w:rFonts w:cs="Times New Roman"/>
        </w:rPr>
      </w:pPr>
      <w:r>
        <w:t xml:space="preserve">Figure </w:t>
      </w:r>
      <w:r w:rsidR="0064332A">
        <w:t>S</w:t>
      </w:r>
      <w:r w:rsidR="006D31ED">
        <w:t>5</w:t>
      </w:r>
      <w:r>
        <w:t xml:space="preserve">. </w:t>
      </w:r>
      <w:r w:rsidR="00B51635" w:rsidRPr="00266754">
        <w:rPr>
          <w:rFonts w:cs="Times New Roman"/>
        </w:rPr>
        <w:t xml:space="preserve">Time trajectories of </w:t>
      </w:r>
      <w:r w:rsidR="007819B4">
        <w:rPr>
          <w:rFonts w:cs="Times New Roman"/>
        </w:rPr>
        <w:t>relative error (</w:t>
      </w:r>
      <w:r w:rsidR="00B51635" w:rsidRPr="00266754">
        <w:rPr>
          <w:rFonts w:cs="Times New Roman"/>
        </w:rPr>
        <w:t>RE</w:t>
      </w:r>
      <w:r w:rsidR="007819B4">
        <w:rPr>
          <w:rFonts w:cs="Times New Roman"/>
        </w:rPr>
        <w:t>)</w:t>
      </w:r>
      <w:r w:rsidR="00B51635">
        <w:rPr>
          <w:rFonts w:cs="Times New Roman"/>
        </w:rPr>
        <w:t xml:space="preserve"> for </w:t>
      </w:r>
      <w:r w:rsidR="00B51635">
        <w:rPr>
          <w:rFonts w:cs="Times New Roman"/>
          <w:i/>
        </w:rPr>
        <w:t>SSB</w:t>
      </w:r>
      <w:r w:rsidR="00B51635">
        <w:rPr>
          <w:rFonts w:cs="Times New Roman"/>
        </w:rPr>
        <w:t xml:space="preserve"> for the </w:t>
      </w:r>
      <w:r w:rsidR="00564B7C">
        <w:rPr>
          <w:rFonts w:cs="Times New Roman"/>
        </w:rPr>
        <w:t>sardine</w:t>
      </w:r>
      <w:r w:rsidR="00B51635">
        <w:rPr>
          <w:rFonts w:cs="Times New Roman"/>
        </w:rPr>
        <w:t>-like life-</w:t>
      </w:r>
      <w:r w:rsidR="00B51635" w:rsidRPr="00266754">
        <w:rPr>
          <w:rFonts w:cs="Times New Roman"/>
        </w:rPr>
        <w:t>history type under a contrast fishing scenario when the true</w:t>
      </w:r>
      <w:r w:rsidR="00B51635">
        <w:rPr>
          <w:rFonts w:cs="Times New Roman"/>
        </w:rPr>
        <w:t xml:space="preserve"> </w:t>
      </w:r>
      <w:r w:rsidR="00B51635">
        <w:rPr>
          <w:rFonts w:cs="Times New Roman"/>
          <w:i/>
        </w:rPr>
        <w:t>M</w:t>
      </w:r>
      <w:r w:rsidR="00B51635" w:rsidRPr="00266754">
        <w:rPr>
          <w:rFonts w:cs="Times New Roman"/>
        </w:rPr>
        <w:t xml:space="preserve"> changed in a bloc</w:t>
      </w:r>
      <w:r w:rsidR="00B51635">
        <w:rPr>
          <w:rFonts w:cs="Times New Roman"/>
        </w:rPr>
        <w:t xml:space="preserve">k like fashion in years 50 </w:t>
      </w:r>
      <w:r w:rsidR="00B51635" w:rsidRPr="00266754">
        <w:rPr>
          <w:rFonts w:cs="Times New Roman"/>
        </w:rPr>
        <w:t>or 90 or was constant across all years</w:t>
      </w:r>
      <w:r w:rsidR="00B378E9">
        <w:rPr>
          <w:rFonts w:cs="Times New Roman"/>
        </w:rPr>
        <w:t xml:space="preserve">. </w:t>
      </w:r>
      <w:r w:rsidR="00B51635">
        <w:rPr>
          <w:rFonts w:cs="Times New Roman"/>
          <w:i/>
        </w:rPr>
        <w:t>M</w:t>
      </w:r>
      <w:r w:rsidR="00B51635">
        <w:rPr>
          <w:rFonts w:cs="Times New Roman"/>
        </w:rPr>
        <w:t xml:space="preserve"> </w:t>
      </w:r>
      <w:r w:rsidR="00B51635" w:rsidRPr="00266754">
        <w:rPr>
          <w:rFonts w:cs="Times New Roman"/>
        </w:rPr>
        <w:t>was either estimated, fixed at a high value, or fixed at a low value. Values of zero (dashed line) indicate no difference between the operating model</w:t>
      </w:r>
      <w:r w:rsidR="00B51635">
        <w:rPr>
          <w:rFonts w:cs="Times New Roman"/>
        </w:rPr>
        <w:t xml:space="preserve"> value </w:t>
      </w:r>
      <w:r w:rsidR="00B51635" w:rsidRPr="00266754">
        <w:rPr>
          <w:rFonts w:cs="Times New Roman"/>
        </w:rPr>
        <w:t xml:space="preserve">and </w:t>
      </w:r>
      <w:r w:rsidR="00B51635">
        <w:rPr>
          <w:rFonts w:cs="Times New Roman"/>
        </w:rPr>
        <w:t xml:space="preserve">the </w:t>
      </w:r>
      <w:r w:rsidR="00B51635" w:rsidRPr="00266754">
        <w:rPr>
          <w:rFonts w:cs="Times New Roman"/>
        </w:rPr>
        <w:t>estimate from the estimation</w:t>
      </w:r>
      <w:r w:rsidR="00B51635">
        <w:rPr>
          <w:rFonts w:cs="Times New Roman"/>
        </w:rPr>
        <w:t xml:space="preserve"> method.</w:t>
      </w:r>
      <w:r w:rsidR="00B51635" w:rsidRPr="00266754">
        <w:rPr>
          <w:rFonts w:cs="Times New Roman"/>
        </w:rPr>
        <w:t xml:space="preserve"> </w:t>
      </w:r>
      <w:r w:rsidR="00B51635">
        <w:rPr>
          <w:rFonts w:cs="Times New Roman"/>
        </w:rPr>
        <w:t xml:space="preserve">The solid vertical line indicates the year that </w:t>
      </w:r>
      <w:r w:rsidR="00B51635">
        <w:rPr>
          <w:rFonts w:cs="Times New Roman"/>
          <w:i/>
        </w:rPr>
        <w:t>M</w:t>
      </w:r>
      <w:r w:rsidR="00B51635">
        <w:rPr>
          <w:rFonts w:cs="Times New Roman"/>
        </w:rPr>
        <w:t xml:space="preserve"> changed to </w:t>
      </w:r>
      <w:r w:rsidR="00B51635">
        <w:rPr>
          <w:rFonts w:cs="Times New Roman"/>
          <w:i/>
        </w:rPr>
        <w:t>M*</w:t>
      </w:r>
      <w:r w:rsidR="00B51635">
        <w:rPr>
          <w:rFonts w:cs="Times New Roman"/>
        </w:rPr>
        <w:t xml:space="preserve">. The shaded regions cover </w:t>
      </w:r>
      <w:r w:rsidR="00B51635" w:rsidRPr="00EF27AF">
        <w:rPr>
          <w:rFonts w:cs="Times New Roman"/>
        </w:rPr>
        <w:t>50% and 9</w:t>
      </w:r>
      <w:r w:rsidR="00B51635">
        <w:rPr>
          <w:rFonts w:cs="Times New Roman"/>
        </w:rPr>
        <w:t>0</w:t>
      </w:r>
      <w:r w:rsidR="00B51635" w:rsidRPr="00EF27AF">
        <w:rPr>
          <w:rFonts w:cs="Times New Roman"/>
        </w:rPr>
        <w:t>% of the relative errors</w:t>
      </w:r>
      <w:r w:rsidR="00B51635">
        <w:rPr>
          <w:rFonts w:cs="Times New Roman"/>
        </w:rPr>
        <w:t>, and the line denotes the median.</w:t>
      </w:r>
      <w:r w:rsidR="00150490">
        <w:rPr>
          <w:rFonts w:cs="Times New Roman"/>
        </w:rPr>
        <w:t xml:space="preserve"> Empty plots indicate scenarios </w:t>
      </w:r>
      <w:r w:rsidR="0064332A">
        <w:rPr>
          <w:rFonts w:cs="Times New Roman"/>
        </w:rPr>
        <w:t>where the optimization algorithm</w:t>
      </w:r>
      <w:r w:rsidR="00150490">
        <w:rPr>
          <w:rFonts w:cs="Times New Roman"/>
        </w:rPr>
        <w:t xml:space="preserve"> failed to converge.</w:t>
      </w:r>
    </w:p>
    <w:p w:rsidR="00956EF4" w:rsidRDefault="000E5187" w:rsidP="006D31ED">
      <w:pPr>
        <w:spacing w:line="480" w:lineRule="auto"/>
        <w:rPr>
          <w:rFonts w:cs="Times New Roman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7700" cy="5727700"/>
            <wp:effectExtent l="0" t="0" r="6350" b="6350"/>
            <wp:docPr id="4" name="Picture 4" descr="C:\Users\kelli\Dropbox\Mortality Paper\ms\Figures\final\Figure7_f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li\Dropbox\Mortality Paper\ms\Figures\final\Figure7_fl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EF4">
        <w:t xml:space="preserve">Figure </w:t>
      </w:r>
      <w:r w:rsidR="0064332A">
        <w:t>S</w:t>
      </w:r>
      <w:r w:rsidR="006D31ED">
        <w:t>6</w:t>
      </w:r>
      <w:r w:rsidR="00956EF4">
        <w:t xml:space="preserve">. </w:t>
      </w:r>
      <w:r w:rsidR="00956EF4" w:rsidRPr="00266754">
        <w:rPr>
          <w:rFonts w:cs="Times New Roman"/>
        </w:rPr>
        <w:t xml:space="preserve">Correlation between the </w:t>
      </w:r>
      <w:r w:rsidR="007819B4">
        <w:rPr>
          <w:rFonts w:cs="Times New Roman"/>
        </w:rPr>
        <w:t>relative errors (</w:t>
      </w:r>
      <w:r w:rsidR="00956EF4">
        <w:rPr>
          <w:rFonts w:cs="Times New Roman"/>
        </w:rPr>
        <w:t>REs</w:t>
      </w:r>
      <w:r w:rsidR="007819B4">
        <w:rPr>
          <w:rFonts w:cs="Times New Roman"/>
        </w:rPr>
        <w:t>)</w:t>
      </w:r>
      <w:r w:rsidR="00956EF4">
        <w:rPr>
          <w:rFonts w:cs="Times New Roman"/>
        </w:rPr>
        <w:t xml:space="preserve"> for </w:t>
      </w:r>
      <w:r w:rsidR="00956EF4">
        <w:rPr>
          <w:rFonts w:cs="Times New Roman"/>
          <w:i/>
        </w:rPr>
        <w:t>R</w:t>
      </w:r>
      <w:r w:rsidR="00956EF4">
        <w:rPr>
          <w:rFonts w:cs="Times New Roman"/>
          <w:i/>
          <w:vertAlign w:val="subscript"/>
        </w:rPr>
        <w:t>0</w:t>
      </w:r>
      <w:r w:rsidR="00956EF4" w:rsidRPr="00266754">
        <w:rPr>
          <w:rFonts w:cs="Times New Roman"/>
        </w:rPr>
        <w:t xml:space="preserve"> and </w:t>
      </w:r>
      <w:r w:rsidR="00956EF4">
        <w:rPr>
          <w:rFonts w:cs="Times New Roman"/>
          <w:i/>
        </w:rPr>
        <w:t>q</w:t>
      </w:r>
      <w:r w:rsidR="00956EF4" w:rsidRPr="00266754">
        <w:rPr>
          <w:rFonts w:cs="Times New Roman"/>
        </w:rPr>
        <w:t xml:space="preserve"> for the </w:t>
      </w:r>
      <w:r w:rsidR="00956EF4">
        <w:rPr>
          <w:rFonts w:cs="Times New Roman"/>
        </w:rPr>
        <w:t>flatfish</w:t>
      </w:r>
      <w:r w:rsidR="00956EF4" w:rsidRPr="00266754">
        <w:rPr>
          <w:rFonts w:cs="Times New Roman"/>
        </w:rPr>
        <w:t xml:space="preserve">-like life history </w:t>
      </w:r>
      <w:r w:rsidR="00956EF4">
        <w:rPr>
          <w:rFonts w:cs="Times New Roman"/>
        </w:rPr>
        <w:t>for</w:t>
      </w:r>
      <w:r w:rsidR="00956EF4" w:rsidRPr="00266754">
        <w:rPr>
          <w:rFonts w:cs="Times New Roman"/>
        </w:rPr>
        <w:t xml:space="preserve"> </w:t>
      </w:r>
      <w:r w:rsidR="00576FE6">
        <w:rPr>
          <w:rFonts w:cs="Times New Roman"/>
        </w:rPr>
        <w:t>two</w:t>
      </w:r>
      <w:r w:rsidR="00576FE6" w:rsidRPr="00266754">
        <w:rPr>
          <w:rFonts w:cs="Times New Roman"/>
        </w:rPr>
        <w:t xml:space="preserve"> </w:t>
      </w:r>
      <w:r w:rsidR="00956EF4" w:rsidRPr="00266754">
        <w:rPr>
          <w:rFonts w:cs="Times New Roman"/>
        </w:rPr>
        <w:t>fishing</w:t>
      </w:r>
      <w:r w:rsidR="00956EF4">
        <w:rPr>
          <w:rFonts w:cs="Times New Roman"/>
        </w:rPr>
        <w:t xml:space="preserve"> patterns.</w:t>
      </w:r>
      <w:r w:rsidR="00956EF4" w:rsidRPr="00266754">
        <w:rPr>
          <w:rFonts w:cs="Times New Roman"/>
        </w:rPr>
        <w:t xml:space="preserve"> Positive errors in parameter estimates occur above and to the </w:t>
      </w:r>
      <w:r w:rsidR="00956EF4">
        <w:rPr>
          <w:rFonts w:cs="Times New Roman"/>
        </w:rPr>
        <w:t xml:space="preserve">right of the dashed line, whereas </w:t>
      </w:r>
      <w:r w:rsidR="00956EF4" w:rsidRPr="00266754">
        <w:rPr>
          <w:rFonts w:cs="Times New Roman"/>
        </w:rPr>
        <w:t>negative errors occur below and to the left of the dashed line.</w:t>
      </w:r>
      <w:r w:rsidR="00956EF4">
        <w:rPr>
          <w:rFonts w:cs="Times New Roman"/>
        </w:rPr>
        <w:t xml:space="preserve"> </w:t>
      </w:r>
      <w:r w:rsidR="0064332A">
        <w:rPr>
          <w:rFonts w:cs="Times New Roman"/>
        </w:rPr>
        <w:t>Empty plots indicate scenarios where the optimization algorithm failed to converge.</w:t>
      </w:r>
    </w:p>
    <w:p w:rsidR="00956EF4" w:rsidRPr="007A53CE" w:rsidRDefault="00956EF4" w:rsidP="003E0365">
      <w:pPr>
        <w:spacing w:line="480" w:lineRule="auto"/>
      </w:pPr>
    </w:p>
    <w:sectPr w:rsidR="00956EF4" w:rsidRPr="007A53CE" w:rsidSect="00B10688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55"/>
    <w:rsid w:val="00091A70"/>
    <w:rsid w:val="000E5187"/>
    <w:rsid w:val="00103E48"/>
    <w:rsid w:val="00150490"/>
    <w:rsid w:val="001C7EBA"/>
    <w:rsid w:val="001F0C37"/>
    <w:rsid w:val="0022312E"/>
    <w:rsid w:val="0025216C"/>
    <w:rsid w:val="00282A53"/>
    <w:rsid w:val="00292DDA"/>
    <w:rsid w:val="00320764"/>
    <w:rsid w:val="00386255"/>
    <w:rsid w:val="003C57B8"/>
    <w:rsid w:val="003E0365"/>
    <w:rsid w:val="004B63B5"/>
    <w:rsid w:val="00564B7C"/>
    <w:rsid w:val="00576FE6"/>
    <w:rsid w:val="005B057F"/>
    <w:rsid w:val="00602D8F"/>
    <w:rsid w:val="0064332A"/>
    <w:rsid w:val="006A4034"/>
    <w:rsid w:val="006D31ED"/>
    <w:rsid w:val="00703BDF"/>
    <w:rsid w:val="00723B6C"/>
    <w:rsid w:val="007567A0"/>
    <w:rsid w:val="007819B4"/>
    <w:rsid w:val="007A53CE"/>
    <w:rsid w:val="0085142C"/>
    <w:rsid w:val="0088106B"/>
    <w:rsid w:val="008A28F7"/>
    <w:rsid w:val="009014B2"/>
    <w:rsid w:val="00914643"/>
    <w:rsid w:val="00956EF4"/>
    <w:rsid w:val="00974C39"/>
    <w:rsid w:val="009770DD"/>
    <w:rsid w:val="00AA36CC"/>
    <w:rsid w:val="00B10688"/>
    <w:rsid w:val="00B378E9"/>
    <w:rsid w:val="00B51635"/>
    <w:rsid w:val="00B71D13"/>
    <w:rsid w:val="00C34D55"/>
    <w:rsid w:val="00CB46A8"/>
    <w:rsid w:val="00DC60D7"/>
    <w:rsid w:val="00E55BBC"/>
    <w:rsid w:val="00E96345"/>
    <w:rsid w:val="00F22709"/>
    <w:rsid w:val="00F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10688"/>
  </w:style>
  <w:style w:type="paragraph" w:styleId="BalloonText">
    <w:name w:val="Balloon Text"/>
    <w:basedOn w:val="Normal"/>
    <w:link w:val="BalloonTextChar"/>
    <w:uiPriority w:val="99"/>
    <w:semiHidden/>
    <w:unhideWhenUsed/>
    <w:rsid w:val="007A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4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23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6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10688"/>
  </w:style>
  <w:style w:type="paragraph" w:styleId="BalloonText">
    <w:name w:val="Balloon Text"/>
    <w:basedOn w:val="Normal"/>
    <w:link w:val="BalloonTextChar"/>
    <w:uiPriority w:val="99"/>
    <w:semiHidden/>
    <w:unhideWhenUsed/>
    <w:rsid w:val="007A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4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23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Johnson</dc:creator>
  <cp:lastModifiedBy>Kelli Johnson</cp:lastModifiedBy>
  <cp:revision>2</cp:revision>
  <dcterms:created xsi:type="dcterms:W3CDTF">2014-07-13T16:25:00Z</dcterms:created>
  <dcterms:modified xsi:type="dcterms:W3CDTF">2014-07-13T16:25:00Z</dcterms:modified>
</cp:coreProperties>
</file>