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m4-quadro-normativo-2h-no-lab"/>
    <w:p>
      <w:pPr>
        <w:pStyle w:val="Titolo1"/>
      </w:pPr>
      <w:r>
        <w:t xml:space="preserve">M4 — Quadro Normativo (2h, no lab)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Citare le</w:t>
      </w:r>
      <w:r>
        <w:t xml:space="preserve"> </w:t>
      </w:r>
      <w:r>
        <w:rPr>
          <w:b/>
          <w:bCs/>
        </w:rPr>
        <w:t xml:space="preserve">3 norme principali</w:t>
      </w:r>
      <w:r>
        <w:t xml:space="preserve"> </w:t>
      </w:r>
      <w:r>
        <w:t xml:space="preserve">che riguardano lo sviluppatore in Europa:</w:t>
      </w:r>
      <w:r>
        <w:t xml:space="preserve"> </w:t>
      </w:r>
      <w:r>
        <w:rPr>
          <w:b/>
          <w:bCs/>
        </w:rPr>
        <w:t xml:space="preserve">GDPR</w:t>
      </w:r>
      <w:r>
        <w:t xml:space="preserve">,</w:t>
      </w:r>
      <w:r>
        <w:t xml:space="preserve"> </w:t>
      </w:r>
      <w:r>
        <w:rPr>
          <w:b/>
          <w:bCs/>
        </w:rPr>
        <w:t xml:space="preserve">NIS 2</w:t>
      </w:r>
      <w:r>
        <w:t xml:space="preserve">,</w:t>
      </w:r>
      <w:r>
        <w:t xml:space="preserve"> </w:t>
      </w:r>
      <w:r>
        <w:rPr>
          <w:b/>
          <w:bCs/>
        </w:rPr>
        <w:t xml:space="preserve">Cyber Resilience Act (CRA)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 ogni norma: ambito, chi riguarda, sanzioni, articoli rilevanti per il codice.</w:t>
      </w:r>
    </w:p>
    <w:p>
      <w:pPr>
        <w:pStyle w:val="Compact"/>
        <w:numPr>
          <w:ilvl w:val="0"/>
          <w:numId w:val="1001"/>
        </w:numPr>
      </w:pPr>
      <w:r>
        <w:t xml:space="preserve">Distinguere</w:t>
      </w:r>
      <w:r>
        <w:t xml:space="preserve"> </w:t>
      </w:r>
      <w:r>
        <w:rPr>
          <w:b/>
          <w:bCs/>
        </w:rPr>
        <w:t xml:space="preserve">dato personale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dato anonimo</w:t>
      </w:r>
      <w:r>
        <w:t xml:space="preserve"> </w:t>
      </w:r>
      <w:r>
        <w:t xml:space="preserve">e capire quando GDPR si applica e quando no.</w:t>
      </w:r>
    </w:p>
    <w:p>
      <w:pPr>
        <w:pStyle w:val="Compact"/>
        <w:numPr>
          <w:ilvl w:val="0"/>
          <w:numId w:val="1001"/>
        </w:numPr>
      </w:pPr>
      <w:r>
        <w:t xml:space="preserve">Riconoscere gli</w:t>
      </w:r>
      <w:r>
        <w:t xml:space="preserve"> </w:t>
      </w:r>
      <w:r>
        <w:rPr>
          <w:b/>
          <w:bCs/>
        </w:rPr>
        <w:t xml:space="preserve">obblighi di notifica</w:t>
      </w:r>
      <w:r>
        <w:t xml:space="preserve"> </w:t>
      </w:r>
      <w:r>
        <w:t xml:space="preserve">(72h GDPR, 24h NIS 2) e perché sono critici.</w:t>
      </w:r>
    </w:p>
    <w:p>
      <w:pPr>
        <w:pStyle w:val="Compact"/>
        <w:numPr>
          <w:ilvl w:val="0"/>
          <w:numId w:val="1001"/>
        </w:numPr>
      </w:pPr>
      <w:r>
        <w:t xml:space="preserve">Collegare un</w:t>
      </w:r>
      <w:r>
        <w:t xml:space="preserve"> </w:t>
      </w:r>
      <w:r>
        <w:rPr>
          <w:b/>
          <w:bCs/>
        </w:rPr>
        <w:t xml:space="preserve">errore di codice</w:t>
      </w:r>
      <w:r>
        <w:t xml:space="preserve"> </w:t>
      </w:r>
      <w:r>
        <w:t xml:space="preserve">(es. SQL Injection) a una</w:t>
      </w:r>
      <w:r>
        <w:t xml:space="preserve"> </w:t>
      </w:r>
      <w:r>
        <w:rPr>
          <w:b/>
          <w:bCs/>
        </w:rPr>
        <w:t xml:space="preserve">norma violata</w:t>
      </w:r>
      <w:r>
        <w:t xml:space="preserve"> </w:t>
      </w:r>
      <w:r>
        <w:t xml:space="preserve">(es. GDPR Art. 32).</w:t>
      </w:r>
    </w:p>
    <w:p>
      <w:pPr>
        <w:pStyle w:val="Compact"/>
        <w:numPr>
          <w:ilvl w:val="0"/>
          <w:numId w:val="1001"/>
        </w:numPr>
      </w:pPr>
      <w:r>
        <w:t xml:space="preserve">Avere coscienza che</w:t>
      </w:r>
      <w:r>
        <w:t xml:space="preserve"> </w:t>
      </w:r>
      <w:r>
        <w:rPr>
          <w:b/>
          <w:bCs/>
        </w:rPr>
        <w:t xml:space="preserve">scrivere codice insicuro non è solo cattiva qualità: in molti casi è illegale</w:t>
      </w:r>
      <w:r>
        <w:t xml:space="preserve">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Capitolo 2</w:t>
      </w:r>
      <w:r>
        <w:t xml:space="preserve"> </w:t>
      </w:r>
      <w:r>
        <w:t xml:space="preserve">(riusato integralmente)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dispensa_code_security_v8.docx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Capitolo 2</w:t>
      </w:r>
      <w:r>
        <w:t xml:space="preserve"> </w:t>
      </w:r>
      <w:r>
        <w:t xml:space="preserve">(per casi pratici e sanzioni in dettaglio)</w:t>
      </w:r>
    </w:p>
    <w:bookmarkEnd w:id="19"/>
    <w:bookmarkStart w:id="20" w:name="articolazione-oraria"/>
    <w:p>
      <w:pPr>
        <w:pStyle w:val="Titolo2"/>
      </w:pPr>
      <w:r>
        <w:t xml:space="preserve">Articolazione oraria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 Perché un programmatore deve sapere di leggi</w:t>
            </w:r>
            <w:r>
              <w:t xml:space="preserve"> </w:t>
            </w:r>
            <w:r>
              <w:t xml:space="preserve">— Il codice è soggetto a norme. Casi reali di multe miliardarie da bug software.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GDPR</w:t>
            </w:r>
            <w:r>
              <w:t xml:space="preserve"> </w:t>
            </w:r>
            <w:r>
              <w:t xml:space="preserve">— Cos’è, ambito territoriale (chiunque tratti dati di residenti UE). Articoli che riguardano il codice:</w:t>
            </w:r>
            <w:r>
              <w:t xml:space="preserve"> </w:t>
            </w:r>
            <w:r>
              <w:rPr>
                <w:b/>
                <w:bCs/>
              </w:rPr>
              <w:t xml:space="preserve">Art. 5</w:t>
            </w:r>
            <w:r>
              <w:t xml:space="preserve"> </w:t>
            </w:r>
            <w:r>
              <w:t xml:space="preserve">(principi),</w:t>
            </w:r>
            <w:r>
              <w:t xml:space="preserve"> </w:t>
            </w:r>
            <w:r>
              <w:rPr>
                <w:b/>
                <w:bCs/>
              </w:rPr>
              <w:t xml:space="preserve">Art. 25</w:t>
            </w:r>
            <w:r>
              <w:t xml:space="preserve"> </w:t>
            </w:r>
            <w:r>
              <w:t xml:space="preserve">(privacy by design e by default),</w:t>
            </w:r>
            <w:r>
              <w:t xml:space="preserve"> </w:t>
            </w:r>
            <w:r>
              <w:rPr>
                <w:b/>
                <w:bCs/>
              </w:rPr>
              <w:t xml:space="preserve">Art. 32</w:t>
            </w:r>
            <w:r>
              <w:t xml:space="preserve"> </w:t>
            </w:r>
            <w:r>
              <w:t xml:space="preserve">(sicurezza del trattamento),</w:t>
            </w:r>
            <w:r>
              <w:t xml:space="preserve"> </w:t>
            </w:r>
            <w:r>
              <w:rPr>
                <w:b/>
                <w:bCs/>
              </w:rPr>
              <w:t xml:space="preserve">Art. 33-34</w:t>
            </w:r>
            <w:r>
              <w:t xml:space="preserve"> </w:t>
            </w:r>
            <w:r>
              <w:t xml:space="preserve">(notifica breach 72h). Sanzioni fino a 20M€ o 4% fatturato. Casi: Equifax, British Airways, Marriott.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 – 1:35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 NIS 2</w:t>
            </w:r>
            <w:r>
              <w:t xml:space="preserve"> </w:t>
            </w:r>
            <w:r>
              <w:t xml:space="preserve">— Direttiva 2022/2555. Chi riguarda (soggetti essenziali e importanti, lista in allegato). Obblighi: misure tecniche, governance,</w:t>
            </w:r>
            <w:r>
              <w:t xml:space="preserve"> </w:t>
            </w:r>
            <w:r>
              <w:rPr>
                <w:b/>
                <w:bCs/>
              </w:rPr>
              <w:t xml:space="preserve">notifica 24h</w:t>
            </w:r>
            <w:r>
              <w:t xml:space="preserve"> </w:t>
            </w:r>
            <w:r>
              <w:t xml:space="preserve">(early warning) + 72h + report finale 30gg. Sanzioni fino a 10M€ o 2% fatturato + responsabilità personale del management.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 – 1:55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 Cyber Resilience Act (CRA)</w:t>
            </w:r>
            <w:r>
              <w:t xml:space="preserve"> </w:t>
            </w:r>
            <w:r>
              <w:t xml:space="preserve">— Reg. 2024/2847, in vigore</w:t>
            </w:r>
            <w:r>
              <w:t xml:space="preserve"> </w:t>
            </w:r>
            <w:r>
              <w:rPr>
                <w:b/>
                <w:bCs/>
              </w:rPr>
              <w:t xml:space="preserve">dicembre 2027</w:t>
            </w:r>
            <w:r>
              <w:t xml:space="preserve">. Cosa cambia: ogni</w:t>
            </w:r>
            <w:r>
              <w:t xml:space="preserve"> </w:t>
            </w:r>
            <w:r>
              <w:t xml:space="preserve">“prodotto con elementi digitali”</w:t>
            </w:r>
            <w:r>
              <w:t xml:space="preserve"> </w:t>
            </w:r>
            <w:r>
              <w:t xml:space="preserve">venduto in UE deve avere requisiti di cybersecurity by design, gestione vulnerabilità, supporto sicurezza per la durata di vita prevista.</w:t>
            </w:r>
            <w:r>
              <w:t xml:space="preserve"> </w:t>
            </w:r>
            <w:r>
              <w:rPr>
                <w:b/>
                <w:bCs/>
              </w:rPr>
              <w:t xml:space="preserve">Per gli sviluppatori cambia tutto</w:t>
            </w:r>
            <w:r>
              <w:t xml:space="preserve">: la sicurezza è un requisito di mercato, non un nice-to-have.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 Tabella riassuntiva</w:t>
            </w:r>
            <w:r>
              <w:t xml:space="preserve"> </w:t>
            </w:r>
            <w:r>
              <w:t xml:space="preserve">— Errore di codice → norma violata → multa potenziale. Da memorizzare.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0"/>
    <w:bookmarkStart w:id="21" w:name="X3497c5146b88bba15e2be32961de5c56f5d87a7"/>
    <w:p>
      <w:pPr>
        <w:pStyle w:val="Titolo2"/>
      </w:pPr>
      <w:r>
        <w:t xml:space="preserve">Tabella riassuntiva (da consegnare a fine modulo)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9"/>
        <w:gridCol w:w="1627"/>
        <w:gridCol w:w="1084"/>
        <w:gridCol w:w="22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Errore tecnico nel codice</w:t>
            </w:r>
          </w:p>
        </w:tc>
        <w:tc>
          <w:tcPr/>
          <w:p>
            <w:pPr>
              <w:pStyle w:val="Compact"/>
            </w:pPr>
            <w:r>
              <w:t xml:space="preserve">Norma violata</w:t>
            </w:r>
          </w:p>
        </w:tc>
        <w:tc>
          <w:tcPr/>
          <w:p>
            <w:pPr>
              <w:pStyle w:val="Compact"/>
            </w:pPr>
            <w:r>
              <w:t xml:space="preserve">Articolo</w:t>
            </w:r>
          </w:p>
        </w:tc>
        <w:tc>
          <w:tcPr/>
          <w:p>
            <w:pPr>
              <w:pStyle w:val="Compact"/>
            </w:pPr>
            <w:r>
              <w:t xml:space="preserve">Sanzione potenziale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che espone dati personali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5(1)(f), Art. 32</w:t>
            </w:r>
          </w:p>
        </w:tc>
        <w:tc>
          <w:tcPr/>
          <w:p>
            <w:pPr>
              <w:pStyle w:val="Compact"/>
            </w:pPr>
            <w:r>
              <w:t xml:space="preserve">Fino a 20M€ o 4%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salvate in chiaro o con MD5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32(1)(a)</w:t>
            </w:r>
          </w:p>
        </w:tc>
        <w:tc>
          <w:tcPr/>
          <w:p>
            <w:pPr>
              <w:pStyle w:val="Compact"/>
            </w:pPr>
            <w:r>
              <w:t xml:space="preserve">Fino a 20M€ o 4%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Mancata notifica di un breach entro 72h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33</w:t>
            </w:r>
          </w:p>
        </w:tc>
        <w:tc>
          <w:tcPr/>
          <w:p>
            <w:pPr>
              <w:pStyle w:val="Compact"/>
            </w:pPr>
            <w:r>
              <w:t xml:space="preserve">Fino a 10M€ o 2%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Vulnerabilità non gestita in software venduto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Art. 11, Art. 13</w:t>
            </w:r>
          </w:p>
        </w:tc>
        <w:tc>
          <w:tcPr/>
          <w:p>
            <w:pPr>
              <w:pStyle w:val="Compact"/>
            </w:pPr>
            <w:r>
              <w:t xml:space="preserve">Fino a 15M€ o 2,5%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Mancata segnalazione incidente</w:t>
            </w:r>
            <w:r>
              <w:t xml:space="preserve"> </w:t>
            </w:r>
            <w:r>
              <w:t xml:space="preserve">“soggetto NIS 2”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23</w:t>
            </w:r>
          </w:p>
        </w:tc>
        <w:tc>
          <w:tcPr/>
          <w:p>
            <w:pPr>
              <w:pStyle w:val="Compact"/>
            </w:pPr>
            <w:r>
              <w:t xml:space="preserve">Fino a 10M€ o 2% fatturato + responsabilità personale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Trattamento eccessivo (raccolta dati non necessari)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5(1)(c)</w:t>
            </w:r>
          </w:p>
        </w:tc>
        <w:tc>
          <w:tcPr/>
          <w:p>
            <w:pPr>
              <w:pStyle w:val="Compact"/>
            </w:pPr>
            <w:r>
              <w:t xml:space="preserve">Fino a 20M€ o 4% fatturato</w:t>
            </w:r>
          </w:p>
        </w:tc>
      </w:tr>
    </w:tbl>
    <w:bookmarkEnd w:id="21"/>
    <w:bookmarkStart w:id="22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Le domande di M4 entrano in</w:t>
      </w:r>
      <w:r>
        <w:t xml:space="preserve"> </w:t>
      </w:r>
      <w:r>
        <w:rPr>
          <w:b/>
          <w:bCs/>
        </w:rPr>
        <w:t xml:space="preserve">V2 (verifica intermedia post M5)</w:t>
      </w:r>
      <w:r>
        <w:t xml:space="preserve">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03"/>
        </w:numPr>
      </w:pPr>
      <w:r>
        <w:t xml:space="preserve">Cita 3 articoli del GDPR che riguardano direttamente chi scrive codice. Spiega cosa richiedono.</w:t>
      </w:r>
    </w:p>
    <w:p>
      <w:pPr>
        <w:pStyle w:val="Compact"/>
        <w:numPr>
          <w:ilvl w:val="0"/>
          <w:numId w:val="1003"/>
        </w:numPr>
      </w:pPr>
      <w:r>
        <w:t xml:space="preserve">Una banca italiana subisce un attacco. Entro quanto deve notificare al Garante? E all’autorità competente NIS 2?</w:t>
      </w:r>
    </w:p>
    <w:p>
      <w:pPr>
        <w:pStyle w:val="Compact"/>
        <w:numPr>
          <w:ilvl w:val="0"/>
          <w:numId w:val="1003"/>
        </w:numPr>
      </w:pPr>
      <w:r>
        <w:t xml:space="preserve">Una società di software vende a clienti UE un dispositivo IoT con backdoor. Da dicembre 2027 quale norma viola?</w:t>
      </w:r>
    </w:p>
    <w:p>
      <w:pPr>
        <w:pStyle w:val="Compact"/>
        <w:numPr>
          <w:ilvl w:val="0"/>
          <w:numId w:val="1003"/>
        </w:numPr>
      </w:pPr>
      <w:r>
        <w:t xml:space="preserve">Cos’è la</w:t>
      </w:r>
      <w:r>
        <w:t xml:space="preserve"> </w:t>
      </w:r>
      <w:r>
        <w:t xml:space="preserve">“privacy by design”</w:t>
      </w:r>
      <w:r>
        <w:t xml:space="preserve">? Quale articolo del GDPR la richiede?</w:t>
      </w:r>
    </w:p>
    <w:bookmarkEnd w:id="22"/>
    <w:bookmarkStart w:id="23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trasformare M4 in un corso di diritto</w:t>
      </w:r>
      <w:r>
        <w:t xml:space="preserve"> </w:t>
      </w:r>
      <w:r>
        <w:t xml:space="preserve">— focus su cosa cambia per chi scrive codice.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dire</w:t>
      </w:r>
      <w:r>
        <w:rPr>
          <w:b/>
          <w:bCs/>
        </w:rPr>
        <w:t xml:space="preserve"> </w:t>
      </w:r>
      <w:r>
        <w:rPr>
          <w:b/>
          <w:bCs/>
        </w:rPr>
        <w:t xml:space="preserve">“sono cose da avvocati”</w:t>
      </w:r>
      <w:r>
        <w:t xml:space="preserve"> </w:t>
      </w:r>
      <w:r>
        <w:t xml:space="preserve">— il programmatore è coinvolto in prima persona nelle indagini post-breach. Il GDPR lo dice esplicitamente.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saltare CRA</w:t>
      </w:r>
      <w:r>
        <w:t xml:space="preserve"> </w:t>
      </w:r>
      <w:r>
        <w:t xml:space="preserve">— è la norma che cambierà di più la vita degli sviluppatori nei prossimi anni.</w:t>
      </w:r>
    </w:p>
    <w:bookmarkEnd w:id="23"/>
    <w:bookmarkStart w:id="24" w:name="spunto-opzionale-5-min-se-avanza-tempo"/>
    <w:p>
      <w:pPr>
        <w:pStyle w:val="Titolo2"/>
      </w:pPr>
      <w:r>
        <w:t xml:space="preserve">Spunto opzionale (5 min se avanza tempo)</w:t>
      </w:r>
    </w:p>
    <w:p>
      <w:pPr>
        <w:pStyle w:val="FirstParagraph"/>
      </w:pPr>
      <w:r>
        <w:rPr>
          <w:b/>
          <w:bCs/>
        </w:rPr>
        <w:t xml:space="preserve">Caso reale italiano</w:t>
      </w:r>
      <w:r>
        <w:t xml:space="preserve">: provvedimento Garante Privacy 2023 — multa a una società italiana per password in chiaro nel database. Discussione: cosa avrebbe dovuto fare lo sviluppatore?</w:t>
      </w:r>
    </w:p>
    <w:bookmarkEnd w:id="24"/>
    <w:bookmarkEnd w:id="2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2026-05-06T22:05:46Z</dcterms:created>
  <dcterms:modified xsi:type="dcterms:W3CDTF">2026-05-06T22:05:46Z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