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modulo-m4-quadro-normativo-europeo"/>
    <w:p>
      <w:pPr>
        <w:pStyle w:val="Titolo1"/>
      </w:pPr>
      <w:r>
        <w:t xml:space="preserve">Modulo M4 — Quadro Normativo Europeo</w:t>
      </w:r>
    </w:p>
    <w:p>
      <w:pPr>
        <w:pStyle w:val="FirstParagraph"/>
      </w:pPr>
      <w:r>
        <w:rPr>
          <w:b/>
          <w:bCs/>
        </w:rPr>
        <w:t xml:space="preserve">Dispensa Tecnica — Corso ITS Cybersecurity (32h)</w:t>
      </w:r>
      <w:r>
        <w:t xml:space="preserve"> </w:t>
      </w:r>
      <w:r>
        <w:rPr>
          <w:b/>
          <w:bCs/>
        </w:rPr>
        <w:t xml:space="preserve">Modulo 4 — 2 ore (lezione frontale, no lab)</w:t>
      </w:r>
      <w:r>
        <w:t xml:space="preserve"> </w:t>
      </w:r>
      <w:r>
        <w:rPr>
          <w:b/>
          <w:bCs/>
        </w:rPr>
        <w:t xml:space="preserve">Prerequisiti</w:t>
      </w:r>
      <w:r>
        <w:t xml:space="preserve">: M1 (concetti di base CIA Triad)</w:t>
      </w:r>
    </w:p>
    <w:p>
      <w:pPr>
        <w:pStyle w:val="BlockText"/>
      </w:pPr>
      <w:r>
        <w:rPr>
          <w:b/>
          <w:bCs/>
        </w:rPr>
        <w:t xml:space="preserve">Materiale di riferimento principale</w:t>
      </w:r>
      <w:r>
        <w:t xml:space="preserve">: Capitolo 2 della dispensa</w:t>
      </w:r>
      <w:r>
        <w:t xml:space="preserve"> </w:t>
      </w:r>
      <w:r>
        <w:rPr>
          <w:rStyle w:val="VerbatimChar"/>
        </w:rPr>
        <w:t xml:space="preserve">dispensa-sviluppo-sicuro-software.docx</w:t>
      </w:r>
      <w:r>
        <w:t xml:space="preserve">.</w:t>
      </w:r>
      <w:r>
        <w:t xml:space="preserve"> </w:t>
      </w:r>
      <w:r>
        <w:t xml:space="preserve">Questo documento integra:</w:t>
      </w:r>
      <w:r>
        <w:t xml:space="preserve"> </w:t>
      </w:r>
      <w:r>
        <w:t xml:space="preserve">- Tabella estesa</w:t>
      </w:r>
      <w:r>
        <w:t xml:space="preserve"> </w:t>
      </w:r>
      <w:r>
        <w:t xml:space="preserve">“errore di codice → norma violata”</w:t>
      </w:r>
      <w:r>
        <w:t xml:space="preserve"> </w:t>
      </w:r>
      <w:r>
        <w:t xml:space="preserve">- 5 casi italiani reali (provvedimenti Garante)</w:t>
      </w:r>
      <w:r>
        <w:t xml:space="preserve"> </w:t>
      </w:r>
      <w:r>
        <w:t xml:space="preserve">- Mini-quiz di autovalutazione</w:t>
      </w:r>
      <w:r>
        <w:t xml:space="preserve"> </w:t>
      </w:r>
      <w:r>
        <w:t xml:space="preserve">- Diagramma di flusso</w:t>
      </w:r>
      <w:r>
        <w:t xml:space="preserve"> </w:t>
      </w:r>
      <w:r>
        <w:t xml:space="preserve">“ho un breach: cosa faccio?”</w:t>
      </w:r>
    </w:p>
    <w:p>
      <w:r>
        <w:pict>
          <v:rect style="width:0;height:1.5pt" o:hralign="center" o:hrstd="t" o:hr="t"/>
        </w:pict>
      </w:r>
    </w:p>
    <w:bookmarkStart w:id="54" w:name="indice"/>
    <w:p>
      <w:pPr>
        <w:pStyle w:val="Titolo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cap1">
        <w:r>
          <w:rPr>
            <w:rStyle w:val="Collegamentoipertestuale"/>
          </w:rPr>
          <w:t xml:space="preserve">Capitolo 1 — Perché un programmatore deve sapere di leggi</w:t>
        </w:r>
      </w:hyperlink>
    </w:p>
    <w:p>
      <w:pPr>
        <w:pStyle w:val="Compact"/>
        <w:numPr>
          <w:ilvl w:val="0"/>
          <w:numId w:val="1001"/>
        </w:numPr>
      </w:pPr>
      <w:hyperlink w:anchor="cap2">
        <w:r>
          <w:rPr>
            <w:rStyle w:val="Collegamentoipertestuale"/>
          </w:rPr>
          <w:t xml:space="preserve">Capitolo 2 — GDPR: gli articoli che riguardano il codice</w:t>
        </w:r>
      </w:hyperlink>
    </w:p>
    <w:p>
      <w:pPr>
        <w:pStyle w:val="Compact"/>
        <w:numPr>
          <w:ilvl w:val="0"/>
          <w:numId w:val="1001"/>
        </w:numPr>
      </w:pPr>
      <w:hyperlink w:anchor="cap3">
        <w:r>
          <w:rPr>
            <w:rStyle w:val="Collegamentoipertestuale"/>
          </w:rPr>
          <w:t xml:space="preserve">Capitolo 3 — NIS 2: chi è</w:t>
        </w:r>
        <w:r>
          <w:rPr>
            <w:rStyle w:val="Collegamentoipertestuale"/>
          </w:rPr>
          <w:t xml:space="preserve"> </w:t>
        </w:r>
        <w:r>
          <w:rPr>
            <w:rStyle w:val="Collegamentoipertestuale"/>
          </w:rPr>
          <w:t xml:space="preserve">“soggetto”</w:t>
        </w:r>
        <w:r>
          <w:rPr>
            <w:rStyle w:val="Collegamentoipertestuale"/>
          </w:rPr>
          <w:t xml:space="preserve"> </w:t>
        </w:r>
        <w:r>
          <w:rPr>
            <w:rStyle w:val="Collegamentoipertestuale"/>
          </w:rPr>
          <w:t xml:space="preserve">e cosa deve fare</w:t>
        </w:r>
      </w:hyperlink>
    </w:p>
    <w:p>
      <w:pPr>
        <w:pStyle w:val="Compact"/>
        <w:numPr>
          <w:ilvl w:val="0"/>
          <w:numId w:val="1001"/>
        </w:numPr>
      </w:pPr>
      <w:hyperlink w:anchor="cap4">
        <w:r>
          <w:rPr>
            <w:rStyle w:val="Collegamentoipertestuale"/>
          </w:rPr>
          <w:t xml:space="preserve">Capitolo 4 — Cyber Resilience Act (CRA)</w:t>
        </w:r>
      </w:hyperlink>
    </w:p>
    <w:p>
      <w:pPr>
        <w:pStyle w:val="Compact"/>
        <w:numPr>
          <w:ilvl w:val="0"/>
          <w:numId w:val="1001"/>
        </w:numPr>
      </w:pPr>
      <w:hyperlink w:anchor="cap5">
        <w:r>
          <w:rPr>
            <w:rStyle w:val="Collegamentoipertestuale"/>
          </w:rPr>
          <w:t xml:space="preserve">Capitolo 5 — Tabella errore → norma</w:t>
        </w:r>
      </w:hyperlink>
    </w:p>
    <w:p>
      <w:pPr>
        <w:pStyle w:val="Compact"/>
        <w:numPr>
          <w:ilvl w:val="0"/>
          <w:numId w:val="1001"/>
        </w:numPr>
      </w:pPr>
      <w:hyperlink w:anchor="cap6">
        <w:r>
          <w:rPr>
            <w:rStyle w:val="Collegamentoipertestuale"/>
          </w:rPr>
          <w:t xml:space="preserve">Capitolo 6 — 5 casi italiani reali</w:t>
        </w:r>
      </w:hyperlink>
    </w:p>
    <w:p>
      <w:pPr>
        <w:pStyle w:val="Compact"/>
        <w:numPr>
          <w:ilvl w:val="0"/>
          <w:numId w:val="1001"/>
        </w:numPr>
      </w:pPr>
      <w:hyperlink w:anchor="cap7">
        <w:r>
          <w:rPr>
            <w:rStyle w:val="Collegamentoipertestuale"/>
          </w:rPr>
          <w:t xml:space="preserve">Capitolo 7 — Diagramma di flusso post-breach</w:t>
        </w:r>
      </w:hyperlink>
    </w:p>
    <w:p>
      <w:pPr>
        <w:pStyle w:val="Compact"/>
        <w:numPr>
          <w:ilvl w:val="0"/>
          <w:numId w:val="1001"/>
        </w:numPr>
      </w:pPr>
      <w:hyperlink w:anchor="cap8">
        <w:r>
          <w:rPr>
            <w:rStyle w:val="Collegamentoipertestuale"/>
          </w:rPr>
          <w:t xml:space="preserve">Capitolo 8 — Mini quiz di autovalutazione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1 — Perché un programmatore deve sapere di leggi</w:t>
      </w:r>
    </w:p>
    <w:p>
      <w:pPr>
        <w:pStyle w:val="BlockText"/>
      </w:pPr>
      <w:r>
        <w:t xml:space="preserve">Quanto ci vorrà: 10 minuti.</w:t>
      </w:r>
    </w:p>
    <w:p>
      <w:pPr>
        <w:pStyle w:val="FirstParagraph"/>
      </w:pPr>
      <w:r>
        <w:t xml:space="preserve">Tre frasi che senti spesso da chi scrive codice:</w:t>
      </w:r>
    </w:p>
    <w:p>
      <w:pPr>
        <w:pStyle w:val="BlockText"/>
      </w:pPr>
      <w:r>
        <w:t xml:space="preserve">❌</w:t>
      </w:r>
      <w:r>
        <w:t xml:space="preserve"> </w:t>
      </w:r>
      <w:r>
        <w:t xml:space="preserve">“Le leggi sono cose da avvocati.”</w:t>
      </w:r>
      <w:r>
        <w:t xml:space="preserve"> </w:t>
      </w:r>
      <w:r>
        <w:t xml:space="preserve">❌</w:t>
      </w:r>
      <w:r>
        <w:t xml:space="preserve"> </w:t>
      </w:r>
      <w:r>
        <w:t xml:space="preserve">“Se sbaglio io, paga l’azienda.”</w:t>
      </w:r>
      <w:r>
        <w:t xml:space="preserve"> </w:t>
      </w:r>
      <w:r>
        <w:t xml:space="preserve">❌</w:t>
      </w:r>
      <w:r>
        <w:t xml:space="preserve"> </w:t>
      </w:r>
      <w:r>
        <w:t xml:space="preserve">“Tanto in Italia non ti beccano.”</w:t>
      </w:r>
    </w:p>
    <w:p>
      <w:pPr>
        <w:pStyle w:val="FirstParagraph"/>
      </w:pPr>
      <w:r>
        <w:t xml:space="preserve">Tutte e tre</w:t>
      </w:r>
      <w:r>
        <w:t xml:space="preserve"> </w:t>
      </w:r>
      <w:r>
        <w:rPr>
          <w:b/>
          <w:bCs/>
        </w:rPr>
        <w:t xml:space="preserve">sbagliate</w:t>
      </w:r>
      <w:r>
        <w:t xml:space="preserve">.</w:t>
      </w:r>
    </w:p>
    <w:bookmarkStart w:id="18" w:name="le-leggi-parlano-di-codice"/>
    <w:p>
      <w:pPr>
        <w:pStyle w:val="Titolo3"/>
      </w:pPr>
      <w:r>
        <w:t xml:space="preserve">1.1 Le leggi parlano di</w:t>
      </w:r>
      <w:r>
        <w:t xml:space="preserve"> </w:t>
      </w:r>
      <w:r>
        <w:rPr>
          <w:b/>
          <w:bCs/>
        </w:rPr>
        <w:t xml:space="preserve">codice</w:t>
      </w:r>
    </w:p>
    <w:p>
      <w:pPr>
        <w:pStyle w:val="FirstParagraph"/>
      </w:pPr>
      <w:r>
        <w:t xml:space="preserve">GDPR Art. 32 cita esplicitamente:</w:t>
      </w:r>
    </w:p>
    <w:p>
      <w:pPr>
        <w:pStyle w:val="BlockText"/>
      </w:pPr>
      <w:r>
        <w:t xml:space="preserve">«Il titolare del trattamento e il responsabile del trattamento mettono in atto</w:t>
      </w:r>
      <w:r>
        <w:t xml:space="preserve"> </w:t>
      </w:r>
      <w:r>
        <w:rPr>
          <w:b/>
          <w:bCs/>
        </w:rPr>
        <w:t xml:space="preserve">misure tecniche e organizzative adeguate</w:t>
      </w:r>
      <w:r>
        <w:t xml:space="preserve"> </w:t>
      </w:r>
      <w:r>
        <w:t xml:space="preserve">per garantire un livello di sicurezza adeguato al rischio, che comprendono, tra le altre, se del caso: la pseudonimizzazione e la</w:t>
      </w:r>
      <w:r>
        <w:t xml:space="preserve"> </w:t>
      </w:r>
      <w:r>
        <w:rPr>
          <w:b/>
          <w:bCs/>
        </w:rPr>
        <w:t xml:space="preserve">cifratura dei dati personali</w:t>
      </w:r>
      <w:r>
        <w:t xml:space="preserve"> </w:t>
      </w:r>
      <w:r>
        <w:t xml:space="preserve">[…]»</w:t>
      </w:r>
    </w:p>
    <w:p>
      <w:pPr>
        <w:pStyle w:val="FirstParagraph"/>
      </w:pPr>
      <w:r>
        <w:t xml:space="preserve">“Misure tecniche”</w:t>
      </w:r>
      <w:r>
        <w:t xml:space="preserve"> </w:t>
      </w:r>
      <w:r>
        <w:t xml:space="preserve">significa</w:t>
      </w:r>
      <w:r>
        <w:t xml:space="preserve"> </w:t>
      </w:r>
      <w:r>
        <w:rPr>
          <w:b/>
          <w:bCs/>
        </w:rPr>
        <w:t xml:space="preserve">codice e configurazioni</w:t>
      </w:r>
      <w:r>
        <w:t xml:space="preserve">. Non un’attività esterna al lavoro dello sviluppatore.</w:t>
      </w:r>
    </w:p>
    <w:bookmarkEnd w:id="18"/>
    <w:bookmarkStart w:id="19" w:name="X3e822e7880f8585189fa368ff1fd895c92c9269"/>
    <w:p>
      <w:pPr>
        <w:pStyle w:val="Titolo3"/>
      </w:pPr>
      <w:r>
        <w:t xml:space="preserve">1.2 Le sanzioni colpiscono l’azienda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il manager (e talvolta l’individuo)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GDPR</w:t>
      </w:r>
      <w:r>
        <w:t xml:space="preserve">: multe fino a 20M€ o 4% fatturato.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NIS 2</w:t>
      </w:r>
      <w:r>
        <w:t xml:space="preserve">: fino a 10M€ o 2%,</w:t>
      </w:r>
      <w:r>
        <w:t xml:space="preserve"> </w:t>
      </w:r>
      <w:r>
        <w:rPr>
          <w:b/>
          <w:bCs/>
        </w:rPr>
        <w:t xml:space="preserve">più responsabilità personale del management</w:t>
      </w:r>
      <w:r>
        <w:t xml:space="preserve"> </w:t>
      </w:r>
      <w:r>
        <w:t xml:space="preserve">(sospensione dalle funzioni dirigenziali!).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CRA</w:t>
      </w:r>
      <w:r>
        <w:t xml:space="preserve">: fino a 15M€ o 2,5%.</w:t>
      </w:r>
    </w:p>
    <w:p>
      <w:pPr>
        <w:pStyle w:val="FirstParagraph"/>
      </w:pPr>
      <w:r>
        <w:t xml:space="preserve">Le aziende, dopo un breach, fanno</w:t>
      </w:r>
      <w:r>
        <w:t xml:space="preserve"> </w:t>
      </w:r>
      <w:r>
        <w:rPr>
          <w:b/>
          <w:bCs/>
        </w:rPr>
        <w:t xml:space="preserve">indagini interne</w:t>
      </w:r>
      <w:r>
        <w:t xml:space="preserve">. Chi ha scritto/firmato cosa? Chi ha approvato la non-patch? Sviluppatori e architetti</w:t>
      </w:r>
      <w:r>
        <w:t xml:space="preserve"> </w:t>
      </w:r>
      <w:r>
        <w:rPr>
          <w:b/>
          <w:bCs/>
        </w:rPr>
        <w:t xml:space="preserve">vengono interrogati</w:t>
      </w:r>
      <w:r>
        <w:t xml:space="preserve">. In casi gravi, contenziosi con licenziamenti.</w:t>
      </w:r>
    </w:p>
    <w:bookmarkEnd w:id="19"/>
    <w:bookmarkStart w:id="20" w:name="X65d37cfc89cf46fb6cb03915e45dac12d230f7c"/>
    <w:p>
      <w:pPr>
        <w:pStyle w:val="Titolo3"/>
      </w:pPr>
      <w:r>
        <w:t xml:space="preserve">1.3 In Italia il Garante ispeziona regolarmente</w:t>
      </w:r>
    </w:p>
    <w:p>
      <w:pPr>
        <w:pStyle w:val="FirstParagraph"/>
      </w:pPr>
      <w:r>
        <w:t xml:space="preserve">Solo nel</w:t>
      </w:r>
      <w:r>
        <w:t xml:space="preserve"> </w:t>
      </w:r>
      <w:r>
        <w:rPr>
          <w:b/>
          <w:bCs/>
        </w:rPr>
        <w:t xml:space="preserve">2024</w:t>
      </w:r>
      <w:r>
        <w:t xml:space="preserve"> </w:t>
      </w:r>
      <w:r>
        <w:t xml:space="preserve">il Garante ha emesso</w:t>
      </w:r>
      <w:r>
        <w:t xml:space="preserve"> </w:t>
      </w:r>
      <w:r>
        <w:rPr>
          <w:b/>
          <w:bCs/>
        </w:rPr>
        <w:t xml:space="preserve">oltre 100 provvedimenti</w:t>
      </w:r>
      <w:r>
        <w:t xml:space="preserve"> </w:t>
      </w:r>
      <w:r>
        <w:t xml:space="preserve">con sanzioni che vanno da 5.000€ a oltre 10M€.</w:t>
      </w:r>
    </w:p>
    <w:p>
      <w:pPr>
        <w:pStyle w:val="BodyText"/>
      </w:pPr>
      <w:r>
        <w:t xml:space="preserve">Settori toccati: sanità, banche, scuole, comuni, e-commerce, app sportive, transport.</w:t>
      </w:r>
      <w:r>
        <w:t xml:space="preserve"> </w:t>
      </w:r>
      <w:r>
        <w:rPr>
          <w:b/>
          <w:bCs/>
        </w:rPr>
        <w:t xml:space="preserve">Nessun settore è escluso</w:t>
      </w:r>
      <w:r>
        <w:t xml:space="preserve">.</w:t>
      </w:r>
    </w:p>
    <w:bookmarkEnd w:id="20"/>
    <w:bookmarkStart w:id="21" w:name="conclusione"/>
    <w:p>
      <w:pPr>
        <w:pStyle w:val="Titolo3"/>
      </w:pPr>
      <w:r>
        <w:t xml:space="preserve">1.4 Conclusione</w:t>
      </w:r>
    </w:p>
    <w:p>
      <w:pPr>
        <w:pStyle w:val="FirstParagraph"/>
      </w:pPr>
      <w:r>
        <w:t xml:space="preserve">Conoscere le 3 norme di questo modulo è</w:t>
      </w:r>
      <w:r>
        <w:t xml:space="preserve"> </w:t>
      </w:r>
      <w:r>
        <w:rPr>
          <w:b/>
          <w:bCs/>
        </w:rPr>
        <w:t xml:space="preserve">competenza professionale</w:t>
      </w:r>
      <w:r>
        <w:t xml:space="preserve"> </w:t>
      </w:r>
      <w:r>
        <w:t xml:space="preserve">di un developer moderno, non un’extra. Andiamo al sodo.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2 — GDPR: gli articoli che riguardano il codice</w:t>
      </w:r>
    </w:p>
    <w:p>
      <w:pPr>
        <w:pStyle w:val="BlockText"/>
      </w:pPr>
      <w:r>
        <w:t xml:space="preserve">Quanto ci vorrà: 40 minuti.</w:t>
      </w:r>
    </w:p>
    <w:bookmarkEnd w:id="21"/>
    <w:bookmarkStart w:id="22" w:name="gdpr-definizione-in-3-righe"/>
    <w:p>
      <w:pPr>
        <w:pStyle w:val="Titolo3"/>
      </w:pPr>
      <w:r>
        <w:t xml:space="preserve">2.1 GDPR — definizione in 3 righe</w:t>
      </w:r>
    </w:p>
    <w:p>
      <w:pPr>
        <w:pStyle w:val="FirstParagraph"/>
      </w:pPr>
      <w:r>
        <w:rPr>
          <w:b/>
          <w:bCs/>
        </w:rPr>
        <w:t xml:space="preserve">GDPR</w:t>
      </w:r>
      <w:r>
        <w:t xml:space="preserve"> </w:t>
      </w:r>
      <w:r>
        <w:t xml:space="preserve">= Regolamento (UE) 2016/679 — General Data Protection Regulation.</w:t>
      </w:r>
      <w:r>
        <w:t xml:space="preserve"> </w:t>
      </w:r>
      <w:r>
        <w:t xml:space="preserve">Si applica a chiunque tratti dati personali di residenti UE, ovunque sia stabilita l’azienda.</w:t>
      </w:r>
      <w:r>
        <w:t xml:space="preserve"> </w:t>
      </w:r>
      <w:r>
        <w:t xml:space="preserve">In vigore dal</w:t>
      </w:r>
      <w:r>
        <w:t xml:space="preserve"> </w:t>
      </w:r>
      <w:r>
        <w:rPr>
          <w:b/>
          <w:bCs/>
        </w:rPr>
        <w:t xml:space="preserve">25 maggio 2018</w:t>
      </w:r>
      <w:r>
        <w:t xml:space="preserve">.</w:t>
      </w:r>
    </w:p>
    <w:bookmarkEnd w:id="22"/>
    <w:bookmarkStart w:id="23" w:name="cosè-un-dato-personale"/>
    <w:p>
      <w:pPr>
        <w:pStyle w:val="Titolo3"/>
      </w:pPr>
      <w:r>
        <w:t xml:space="preserve">2.2 Cos’è un</w:t>
      </w:r>
      <w:r>
        <w:t xml:space="preserve"> </w:t>
      </w:r>
      <w:r>
        <w:t xml:space="preserve">“dato personale”</w:t>
      </w:r>
    </w:p>
    <w:p>
      <w:pPr>
        <w:pStyle w:val="FirstParagraph"/>
      </w:pPr>
      <w:r>
        <w:t xml:space="preserve">GDPR Art. 4(1):</w:t>
      </w:r>
    </w:p>
    <w:p>
      <w:pPr>
        <w:pStyle w:val="BlockText"/>
      </w:pPr>
      <w:r>
        <w:t xml:space="preserve">«</w:t>
      </w:r>
      <w:r>
        <w:t xml:space="preserve">“Dato personale”</w:t>
      </w:r>
      <w:r>
        <w:t xml:space="preserve">: qualsiasi informazione</w:t>
      </w:r>
      <w:r>
        <w:t xml:space="preserve"> </w:t>
      </w:r>
      <w:r>
        <w:rPr>
          <w:b/>
          <w:bCs/>
        </w:rPr>
        <w:t xml:space="preserve">riguardante una persona fisica identificata o identificabile</w:t>
      </w:r>
      <w:r>
        <w:t xml:space="preserve"> </w:t>
      </w:r>
      <w:r>
        <w:t xml:space="preserve">[…]»</w:t>
      </w:r>
    </w:p>
    <w:p>
      <w:pPr>
        <w:pStyle w:val="FirstParagraph"/>
      </w:pPr>
      <w:r>
        <w:rPr>
          <w:b/>
          <w:bCs/>
        </w:rPr>
        <w:t xml:space="preserve">Esempi di dato personale</w:t>
      </w:r>
      <w:r>
        <w:t xml:space="preserve">:</w:t>
      </w:r>
      <w:r>
        <w:t xml:space="preserve"> </w:t>
      </w:r>
      <w:r>
        <w:t xml:space="preserve">- Nome, cognome, codice fiscale, indirizzo</w:t>
      </w:r>
      <w:r>
        <w:t xml:space="preserve"> </w:t>
      </w:r>
      <w:r>
        <w:t xml:space="preserve">- Email, numero di telefono, IP fissi</w:t>
      </w:r>
      <w:r>
        <w:t xml:space="preserve"> </w:t>
      </w:r>
      <w:r>
        <w:t xml:space="preserve">- Foto, video, voce</w:t>
      </w:r>
      <w:r>
        <w:t xml:space="preserve"> </w:t>
      </w:r>
      <w:r>
        <w:t xml:space="preserve">- Cronologia acquisti, geolocalizzazione, comportamento online</w:t>
      </w:r>
      <w:r>
        <w:t xml:space="preserve"> </w:t>
      </w:r>
      <w:r>
        <w:t xml:space="preserve">- Cookie identificativi (in molti casi)</w:t>
      </w:r>
    </w:p>
    <w:p>
      <w:pPr>
        <w:pStyle w:val="BodyText"/>
      </w:pPr>
      <w:r>
        <w:rPr>
          <w:b/>
          <w:bCs/>
        </w:rPr>
        <w:t xml:space="preserve">Esempi di dato NON personale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“Il 35% degli utenti ha tra i 25 e i 34 anni”</w:t>
      </w:r>
      <w:r>
        <w:t xml:space="preserve"> </w:t>
      </w:r>
      <w:r>
        <w:t xml:space="preserve">(statistica aggregata anonima)</w:t>
      </w:r>
      <w:r>
        <w:t xml:space="preserve"> </w:t>
      </w:r>
      <w:r>
        <w:t xml:space="preserve">- Codice sorgente di un’app</w:t>
      </w:r>
      <w:r>
        <w:t xml:space="preserve"> </w:t>
      </w:r>
      <w:r>
        <w:t xml:space="preserve">- Dati di un’azienda (sono dati aziendali, non personali — anche se l’email del CEO sì)</w:t>
      </w:r>
    </w:p>
    <w:bookmarkEnd w:id="23"/>
    <w:bookmarkStart w:id="24" w:name="categorie-particolari-art.-9"/>
    <w:p>
      <w:pPr>
        <w:pStyle w:val="Titolo3"/>
      </w:pPr>
      <w:r>
        <w:t xml:space="preserve">2.3 Categorie particolari (Art. 9)</w:t>
      </w:r>
    </w:p>
    <w:p>
      <w:pPr>
        <w:pStyle w:val="FirstParagraph"/>
      </w:pPr>
      <w:r>
        <w:t xml:space="preserve">Dati con</w:t>
      </w:r>
      <w:r>
        <w:t xml:space="preserve"> </w:t>
      </w:r>
      <w:r>
        <w:rPr>
          <w:b/>
          <w:bCs/>
        </w:rPr>
        <w:t xml:space="preserve">protezione rinforzata</w:t>
      </w:r>
      <w:r>
        <w:t xml:space="preserve">:</w:t>
      </w:r>
      <w:r>
        <w:t xml:space="preserve"> </w:t>
      </w:r>
      <w:r>
        <w:t xml:space="preserve">- Salute (cartelle cliniche, prescrizioni)</w:t>
      </w:r>
      <w:r>
        <w:t xml:space="preserve"> </w:t>
      </w:r>
      <w:r>
        <w:t xml:space="preserve">- Origine razziale/etnica</w:t>
      </w:r>
      <w:r>
        <w:t xml:space="preserve"> </w:t>
      </w:r>
      <w:r>
        <w:t xml:space="preserve">- Opinioni politiche, religiose, filosofiche</w:t>
      </w:r>
      <w:r>
        <w:t xml:space="preserve"> </w:t>
      </w:r>
      <w:r>
        <w:t xml:space="preserve">- Appartenenza sindacale</w:t>
      </w:r>
      <w:r>
        <w:t xml:space="preserve"> </w:t>
      </w:r>
      <w:r>
        <w:t xml:space="preserve">- Dati genetici e biometrici</w:t>
      </w:r>
      <w:r>
        <w:t xml:space="preserve"> </w:t>
      </w:r>
      <w:r>
        <w:t xml:space="preserve">- Vita sessuale, orientamento sessuale</w:t>
      </w:r>
      <w:r>
        <w:t xml:space="preserve"> </w:t>
      </w:r>
      <w:r>
        <w:t xml:space="preserve">- Dati giudiziari</w:t>
      </w:r>
    </w:p>
    <w:p>
      <w:pPr>
        <w:pStyle w:val="BodyText"/>
      </w:pPr>
      <w:r>
        <w:t xml:space="preserve">Trattare questi dati richiede</w:t>
      </w:r>
      <w:r>
        <w:t xml:space="preserve"> </w:t>
      </w:r>
      <w:r>
        <w:rPr>
          <w:b/>
          <w:bCs/>
        </w:rPr>
        <w:t xml:space="preserve">base giuridica rafforzata</w:t>
      </w:r>
      <w:r>
        <w:t xml:space="preserve"> </w:t>
      </w:r>
      <w:r>
        <w:t xml:space="preserve">(consenso esplicito o casi specifici dell’Art. 9(2)).</w:t>
      </w:r>
    </w:p>
    <w:bookmarkEnd w:id="24"/>
    <w:bookmarkStart w:id="31" w:name="X6aa374ec944dd1110bd9e811305717a9e7ba3a2"/>
    <w:p>
      <w:pPr>
        <w:pStyle w:val="Titolo3"/>
      </w:pPr>
      <w:r>
        <w:t xml:space="preserve">2.4 Articoli che riguardano direttamente il codice</w:t>
      </w:r>
    </w:p>
    <w:bookmarkStart w:id="25" w:name="art.-5-principi-del-trattamento"/>
    <w:p>
      <w:pPr>
        <w:pStyle w:val="Titolo4"/>
      </w:pPr>
      <w:r>
        <w:t xml:space="preserve">Art. 5 — Principi del trattamento</w:t>
      </w:r>
    </w:p>
    <w:p>
      <w:pPr>
        <w:pStyle w:val="FirstParagraph"/>
      </w:pPr>
      <w:r>
        <w:t xml:space="preserve">I dati devono essere trattati nel rispetto di</w:t>
      </w:r>
      <w:r>
        <w:t xml:space="preserve"> </w:t>
      </w:r>
      <w:r>
        <w:rPr>
          <w:b/>
          <w:bCs/>
        </w:rPr>
        <w:t xml:space="preserve">6 principi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2359"/>
        <w:gridCol w:w="37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Principio</w:t>
            </w:r>
          </w:p>
        </w:tc>
        <w:tc>
          <w:tcPr/>
          <w:p>
            <w:pPr>
              <w:pStyle w:val="Compact"/>
            </w:pPr>
            <w:r>
              <w:t xml:space="preserve">In una frase</w:t>
            </w:r>
          </w:p>
        </w:tc>
        <w:tc>
          <w:tcPr/>
          <w:p>
            <w:pPr>
              <w:pStyle w:val="Compact"/>
            </w:pPr>
            <w:r>
              <w:t xml:space="preserve">Implicazione tecnica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Liceità, correttezza, trasparenza</w:t>
            </w:r>
          </w:p>
        </w:tc>
        <w:tc>
          <w:tcPr/>
          <w:p>
            <w:pPr>
              <w:pStyle w:val="Compact"/>
            </w:pPr>
            <w:r>
              <w:t xml:space="preserve">Tratti dati con base giuridica e l’utente lo sa</w:t>
            </w:r>
          </w:p>
        </w:tc>
        <w:tc>
          <w:tcPr/>
          <w:p>
            <w:pPr>
              <w:pStyle w:val="Compact"/>
            </w:pPr>
            <w:r>
              <w:t xml:space="preserve">Privacy policy chiara, cookie banner conforme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Limitazione delle finalità</w:t>
            </w:r>
          </w:p>
        </w:tc>
        <w:tc>
          <w:tcPr/>
          <w:p>
            <w:pPr>
              <w:pStyle w:val="Compact"/>
            </w:pPr>
            <w:r>
              <w:t xml:space="preserve">Dati raccolti per scopi specifici, non altri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  <w:r>
              <w:t xml:space="preserve"> </w:t>
            </w:r>
            <w:r>
              <w:t xml:space="preserve">“perché stiamo usando questi dati?”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Minimizzazione</w:t>
            </w:r>
          </w:p>
        </w:tc>
        <w:tc>
          <w:tcPr/>
          <w:p>
            <w:pPr>
              <w:pStyle w:val="Compact"/>
            </w:pPr>
            <w:r>
              <w:t xml:space="preserve">Solo i dati necessari</w:t>
            </w:r>
          </w:p>
        </w:tc>
        <w:tc>
          <w:tcPr/>
          <w:p>
            <w:pPr>
              <w:pStyle w:val="Compact"/>
            </w:pPr>
            <w:r>
              <w:t xml:space="preserve">M5 — Data Minimization. Form snelli.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Esattezza</w:t>
            </w:r>
          </w:p>
        </w:tc>
        <w:tc>
          <w:tcPr/>
          <w:p>
            <w:pPr>
              <w:pStyle w:val="Compact"/>
            </w:pPr>
            <w:r>
              <w:t xml:space="preserve">Dati corretti e aggiornati</w:t>
            </w:r>
          </w:p>
        </w:tc>
        <w:tc>
          <w:tcPr/>
          <w:p>
            <w:pPr>
              <w:pStyle w:val="Compact"/>
            </w:pPr>
            <w:r>
              <w:t xml:space="preserve">Endpoint per modifica dati personali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Limitazione della conservazione</w:t>
            </w:r>
          </w:p>
        </w:tc>
        <w:tc>
          <w:tcPr/>
          <w:p>
            <w:pPr>
              <w:pStyle w:val="Compact"/>
            </w:pPr>
            <w:r>
              <w:t xml:space="preserve">Conservazione per il tempo necessario</w:t>
            </w:r>
          </w:p>
        </w:tc>
        <w:tc>
          <w:tcPr/>
          <w:p>
            <w:pPr>
              <w:pStyle w:val="Compact"/>
            </w:pPr>
            <w:r>
              <w:t xml:space="preserve">Retention policy + cancellazione automatica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Integrità e riservatezza</w:t>
            </w:r>
          </w:p>
        </w:tc>
        <w:tc>
          <w:tcPr/>
          <w:p>
            <w:pPr>
              <w:pStyle w:val="Compact"/>
            </w:pPr>
            <w:r>
              <w:t xml:space="preserve">Sicurezza adeguata</w:t>
            </w:r>
          </w:p>
        </w:tc>
        <w:tc>
          <w:tcPr/>
          <w:p>
            <w:pPr>
              <w:pStyle w:val="Compact"/>
            </w:pPr>
            <w:r>
              <w:t xml:space="preserve">Cifratura, controllo accessi, pseudonimizzazione</w:t>
            </w:r>
          </w:p>
        </w:tc>
      </w:tr>
    </w:tbl>
    <w:bookmarkEnd w:id="25"/>
    <w:bookmarkStart w:id="26" w:name="art.-25-privacy-by-design-and-by-default"/>
    <w:p>
      <w:pPr>
        <w:pStyle w:val="Titolo4"/>
      </w:pPr>
      <w:r>
        <w:t xml:space="preserve">Art. 25 — Privacy by Design and by Default</w:t>
      </w:r>
    </w:p>
    <w:p>
      <w:pPr>
        <w:pStyle w:val="BlockText"/>
      </w:pPr>
      <w:r>
        <w:t xml:space="preserve">«Il titolare del trattamento mette in atto misure tecniche e organizzative adeguate</w:t>
      </w:r>
      <w:r>
        <w:t xml:space="preserve"> </w:t>
      </w:r>
      <w:r>
        <w:rPr>
          <w:b/>
          <w:bCs/>
        </w:rPr>
        <w:t xml:space="preserve">al momento di determinare i mezzi del trattamento</w:t>
      </w:r>
      <w:r>
        <w:t xml:space="preserve"> </w:t>
      </w:r>
      <w:r>
        <w:t xml:space="preserve">[…] per garantire che siano trattati,</w:t>
      </w:r>
      <w:r>
        <w:t xml:space="preserve"> </w:t>
      </w:r>
      <w:r>
        <w:rPr>
          <w:b/>
          <w:bCs/>
        </w:rPr>
        <w:t xml:space="preserve">per impostazione predefinita, solo i dati personali necessari</w:t>
      </w:r>
      <w:r>
        <w:t xml:space="preserve"> </w:t>
      </w:r>
      <w:r>
        <w:t xml:space="preserve">[…]»</w:t>
      </w:r>
    </w:p>
    <w:p>
      <w:pPr>
        <w:pStyle w:val="FirstParagraph"/>
      </w:pPr>
      <w:r>
        <w:rPr>
          <w:b/>
          <w:bCs/>
        </w:rPr>
        <w:t xml:space="preserve">Implicazione</w:t>
      </w:r>
      <w:r>
        <w:t xml:space="preserve">: la privacy si progetta</w:t>
      </w:r>
      <w:r>
        <w:t xml:space="preserve"> </w:t>
      </w:r>
      <w:r>
        <w:rPr>
          <w:b/>
          <w:bCs/>
        </w:rPr>
        <w:t xml:space="preserve">prima di scrivere codice</w:t>
      </w:r>
      <w:r>
        <w:t xml:space="preserve">. Vedi M5.</w:t>
      </w:r>
    </w:p>
    <w:bookmarkEnd w:id="26"/>
    <w:bookmarkStart w:id="27" w:name="Xdf8871af827d3b00cc4abdbec3731c8991785e7"/>
    <w:p>
      <w:pPr>
        <w:pStyle w:val="Titolo4"/>
      </w:pPr>
      <w:r>
        <w:t xml:space="preserve">Art. 32 — Sicurezza del trattamento (l’articolo critico per gli sviluppatori)</w:t>
      </w:r>
    </w:p>
    <w:p>
      <w:pPr>
        <w:pStyle w:val="FirstParagraph"/>
      </w:pPr>
      <w:r>
        <w:t xml:space="preserve">L’articolo che gli sviluppatori violano più spesso. Cita esplicitamente: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Pseudonimizzazione e cifratura</w:t>
      </w:r>
      <w:r>
        <w:t xml:space="preserve"> </w:t>
      </w:r>
      <w:r>
        <w:t xml:space="preserve">dei dati personali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Riservatezza, integrità, disponibilità</w:t>
      </w:r>
      <w:r>
        <w:t xml:space="preserve"> </w:t>
      </w:r>
      <w:r>
        <w:t xml:space="preserve">e resilienza dei sistemi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Capacità di ripristino</w:t>
      </w:r>
      <w:r>
        <w:t xml:space="preserve"> </w:t>
      </w:r>
      <w:r>
        <w:t xml:space="preserve">dei dati (backup)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Procedura di test, verifica e valutazione regolare</w:t>
      </w:r>
      <w:r>
        <w:t xml:space="preserve"> </w:t>
      </w:r>
      <w:r>
        <w:t xml:space="preserve">delle misure</w:t>
      </w:r>
    </w:p>
    <w:p>
      <w:pPr>
        <w:pStyle w:val="FirstParagraph"/>
      </w:pPr>
      <w:r>
        <w:t xml:space="preserve">Tradotto: il GDPR ti dice di:</w:t>
      </w:r>
      <w:r>
        <w:t xml:space="preserve"> </w:t>
      </w:r>
      <w:r>
        <w:t xml:space="preserve">- Cifrare dati a riposo e in transito (TLS, DB cifrato).</w:t>
      </w:r>
      <w:r>
        <w:t xml:space="preserve"> </w:t>
      </w:r>
      <w:r>
        <w:t xml:space="preserve">- Pseudonimizzare quando possibile (M5).</w:t>
      </w:r>
      <w:r>
        <w:t xml:space="preserve"> </w:t>
      </w:r>
      <w:r>
        <w:t xml:space="preserve">- Avere backup funzionanti.</w:t>
      </w:r>
      <w:r>
        <w:t xml:space="preserve"> </w:t>
      </w:r>
      <w:r>
        <w:t xml:space="preserve">- Fare audit periodici / pentest / vulnerability scan.</w:t>
      </w:r>
    </w:p>
    <w:p>
      <w:pPr>
        <w:pStyle w:val="BodyText"/>
      </w:pPr>
      <w:r>
        <w:rPr>
          <w:b/>
          <w:bCs/>
        </w:rPr>
        <w:t xml:space="preserve">Non rispettare l’Art. 32 = violazione anche senza un breach</w:t>
      </w:r>
      <w:r>
        <w:t xml:space="preserve">.</w:t>
      </w:r>
    </w:p>
    <w:bookmarkEnd w:id="27"/>
    <w:bookmarkStart w:id="28" w:name="X4766e3a09f0af72fdc446828e5ed08367703d93"/>
    <w:p>
      <w:pPr>
        <w:pStyle w:val="Titolo4"/>
      </w:pPr>
      <w:r>
        <w:t xml:space="preserve">Art. 33 — Notifica del breach al Garante (entro 72 ore)</w:t>
      </w:r>
    </w:p>
    <w:p>
      <w:pPr>
        <w:pStyle w:val="FirstParagraph"/>
      </w:pPr>
      <w:r>
        <w:t xml:space="preserve">In caso di</w:t>
      </w:r>
      <w:r>
        <w:t xml:space="preserve"> </w:t>
      </w:r>
      <w:r>
        <w:rPr>
          <w:b/>
          <w:bCs/>
        </w:rPr>
        <w:t xml:space="preserve">violazione di dati personali</w:t>
      </w:r>
      <w:r>
        <w:t xml:space="preserve"> </w:t>
      </w:r>
      <w:r>
        <w:t xml:space="preserve">(data breach), il titolare deve</w:t>
      </w:r>
      <w:r>
        <w:t xml:space="preserve"> </w:t>
      </w:r>
      <w:r>
        <w:rPr>
          <w:b/>
          <w:bCs/>
        </w:rPr>
        <w:t xml:space="preserve">notificare al Garante entro 72 ore</w:t>
      </w:r>
      <w:r>
        <w:t xml:space="preserve"> </w:t>
      </w:r>
      <w:r>
        <w:t xml:space="preserve">dalla scoperta.</w:t>
      </w:r>
    </w:p>
    <w:p>
      <w:pPr>
        <w:pStyle w:val="BodyText"/>
      </w:pPr>
      <w:r>
        <w:t xml:space="preserve">Cosa contiene la notifica:</w:t>
      </w:r>
      <w:r>
        <w:t xml:space="preserve"> </w:t>
      </w:r>
      <w:r>
        <w:t xml:space="preserve">- Natura della violazione, categorie e numero approssimativo di interessati</w:t>
      </w:r>
      <w:r>
        <w:t xml:space="preserve"> </w:t>
      </w:r>
      <w:r>
        <w:t xml:space="preserve">- Conseguenze probabili</w:t>
      </w:r>
      <w:r>
        <w:t xml:space="preserve"> </w:t>
      </w:r>
      <w:r>
        <w:t xml:space="preserve">- Misure adottate o proposte per affrontare la violazione</w:t>
      </w:r>
    </w:p>
    <w:p>
      <w:pPr>
        <w:pStyle w:val="BodyText"/>
      </w:pPr>
      <w:r>
        <w:rPr>
          <w:b/>
          <w:bCs/>
        </w:rPr>
        <w:t xml:space="preserve">72 ore non sono molte</w:t>
      </w:r>
      <w:r>
        <w:t xml:space="preserve">. Se è venerdì sera e scopri un breach domenica mattina, hai fino a mercoledì notte. Bisogna avere un</w:t>
      </w:r>
      <w:r>
        <w:t xml:space="preserve"> </w:t>
      </w:r>
      <w:r>
        <w:rPr>
          <w:b/>
          <w:bCs/>
        </w:rPr>
        <w:t xml:space="preserve">playbook pronto</w:t>
      </w:r>
      <w:r>
        <w:t xml:space="preserve">.</w:t>
      </w:r>
    </w:p>
    <w:bookmarkEnd w:id="28"/>
    <w:bookmarkStart w:id="29" w:name="art.-34-comunicazione-agli-interessati"/>
    <w:p>
      <w:pPr>
        <w:pStyle w:val="Titolo4"/>
      </w:pPr>
      <w:r>
        <w:t xml:space="preserve">Art. 34 — Comunicazione agli interessati</w:t>
      </w:r>
    </w:p>
    <w:p>
      <w:pPr>
        <w:pStyle w:val="FirstParagraph"/>
      </w:pPr>
      <w:r>
        <w:t xml:space="preserve">Se il breach può comportare un</w:t>
      </w:r>
      <w:r>
        <w:t xml:space="preserve"> </w:t>
      </w:r>
      <w:r>
        <w:rPr>
          <w:b/>
          <w:bCs/>
        </w:rPr>
        <w:t xml:space="preserve">rischio elevato</w:t>
      </w:r>
      <w:r>
        <w:t xml:space="preserve"> </w:t>
      </w:r>
      <w:r>
        <w:t xml:space="preserve">per gli interessati, devi anche</w:t>
      </w:r>
      <w:r>
        <w:t xml:space="preserve"> </w:t>
      </w:r>
      <w:r>
        <w:rPr>
          <w:b/>
          <w:bCs/>
        </w:rPr>
        <w:t xml:space="preserve">comunicarlo a loro</w:t>
      </w:r>
      <w:r>
        <w:t xml:space="preserve"> </w:t>
      </w:r>
      <w:r>
        <w:t xml:space="preserve">(es. via email).</w:t>
      </w:r>
    </w:p>
    <w:p>
      <w:pPr>
        <w:pStyle w:val="BodyText"/>
      </w:pPr>
      <w:r>
        <w:t xml:space="preserve">Eccezioni (puoi NON comunicare se):</w:t>
      </w:r>
      <w:r>
        <w:t xml:space="preserve"> </w:t>
      </w:r>
      <w:r>
        <w:t xml:space="preserve">- I dati erano cifrati e la chiave è al sicuro.</w:t>
      </w:r>
      <w:r>
        <w:t xml:space="preserve"> </w:t>
      </w:r>
      <w:r>
        <w:t xml:space="preserve">- Hai adottato misure successive che mitigano il rischio.</w:t>
      </w:r>
      <w:r>
        <w:t xml:space="preserve"> </w:t>
      </w:r>
      <w:r>
        <w:t xml:space="preserve">- La comunicazione richiederebbe sforzi sproporzionati (allora comunicato pubblico).</w:t>
      </w:r>
    </w:p>
    <w:bookmarkEnd w:id="29"/>
    <w:bookmarkStart w:id="30" w:name="Xe9c4611383591c77b2eaa72196b72d648e2fd4b"/>
    <w:p>
      <w:pPr>
        <w:pStyle w:val="Titolo4"/>
      </w:pPr>
      <w:r>
        <w:t xml:space="preserve">Art. 35 — Data Protection Impact Assessment (DPIA)</w:t>
      </w:r>
    </w:p>
    <w:p>
      <w:pPr>
        <w:pStyle w:val="FirstParagraph"/>
      </w:pPr>
      <w:r>
        <w:t xml:space="preserve">Quando un trattamento può presentare</w:t>
      </w:r>
      <w:r>
        <w:t xml:space="preserve"> </w:t>
      </w:r>
      <w:r>
        <w:rPr>
          <w:b/>
          <w:bCs/>
        </w:rPr>
        <w:t xml:space="preserve">rischio elevato</w:t>
      </w:r>
      <w:r>
        <w:t xml:space="preserve">, serve una DPIA</w:t>
      </w:r>
      <w:r>
        <w:t xml:space="preserve"> </w:t>
      </w:r>
      <w:r>
        <w:rPr>
          <w:i/>
          <w:iCs/>
        </w:rPr>
        <w:t xml:space="preserve">prima</w:t>
      </w:r>
      <w:r>
        <w:t xml:space="preserve"> </w:t>
      </w:r>
      <w:r>
        <w:t xml:space="preserve">di iniziare.</w:t>
      </w:r>
    </w:p>
    <w:p>
      <w:pPr>
        <w:pStyle w:val="BodyText"/>
      </w:pPr>
      <w:r>
        <w:t xml:space="preserve">Vedi M5 cap 8.</w:t>
      </w:r>
    </w:p>
    <w:bookmarkEnd w:id="30"/>
    <w:bookmarkEnd w:id="31"/>
    <w:bookmarkStart w:id="32" w:name="sanzioni-gdpr"/>
    <w:p>
      <w:pPr>
        <w:pStyle w:val="Titolo3"/>
      </w:pPr>
      <w:r>
        <w:t xml:space="preserve">2.5 Sanzioni GDPR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Massimo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Violazioni</w:t>
            </w:r>
            <w:r>
              <w:t xml:space="preserve"> </w:t>
            </w:r>
            <w:r>
              <w:t xml:space="preserve">“minori”</w:t>
            </w:r>
            <w:r>
              <w:t xml:space="preserve"> </w:t>
            </w:r>
            <w:r>
              <w:t xml:space="preserve">(Art. 83.4): no DPO, no DPIA, no registro trattamenti</w:t>
            </w:r>
          </w:p>
        </w:tc>
        <w:tc>
          <w:tcPr/>
          <w:p>
            <w:pPr>
              <w:pStyle w:val="Compact"/>
            </w:pPr>
            <w:r>
              <w:t xml:space="preserve">10M€ o 2% fatturato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Violazioni</w:t>
            </w:r>
            <w:r>
              <w:t xml:space="preserve"> </w:t>
            </w:r>
            <w:r>
              <w:t xml:space="preserve">“maggiori”</w:t>
            </w:r>
            <w:r>
              <w:t xml:space="preserve"> </w:t>
            </w:r>
            <w:r>
              <w:t xml:space="preserve">(Art. 83.5): principi base, diritti interessati, trasferimenti extra-UE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20M€ o 4% fatturato</w:t>
            </w:r>
          </w:p>
        </w:tc>
      </w:tr>
    </w:tbl>
    <w:p>
      <w:pPr>
        <w:pStyle w:val="BodyText"/>
      </w:pPr>
      <w:r>
        <w:t xml:space="preserve">Si applica</w:t>
      </w:r>
      <w:r>
        <w:t xml:space="preserve"> </w:t>
      </w:r>
      <w:r>
        <w:rPr>
          <w:b/>
          <w:bCs/>
        </w:rPr>
        <w:t xml:space="preserve">il maggiore tra i due</w:t>
      </w:r>
      <w:r>
        <w:t xml:space="preserve">. E in ognuna di queste categorie ci sono violazioni che riguardano direttamente il codice.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3 — NIS 2: chi è</w:t>
      </w:r>
      <w:r>
        <w:t xml:space="preserve"> </w:t>
      </w:r>
      <w:r>
        <w:t xml:space="preserve">“soggetto”</w:t>
      </w:r>
      <w:r>
        <w:t xml:space="preserve"> </w:t>
      </w:r>
      <w:r>
        <w:t xml:space="preserve">e cosa deve fare</w:t>
      </w:r>
    </w:p>
    <w:p>
      <w:pPr>
        <w:pStyle w:val="BlockText"/>
      </w:pPr>
      <w:r>
        <w:t xml:space="preserve">Quanto ci vorrà: 30 minuti.</w:t>
      </w:r>
    </w:p>
    <w:bookmarkEnd w:id="32"/>
    <w:bookmarkStart w:id="33" w:name="nis-2-in-3-righe"/>
    <w:p>
      <w:pPr>
        <w:pStyle w:val="Titolo3"/>
      </w:pPr>
      <w:r>
        <w:t xml:space="preserve">3.1 NIS 2 in 3 righe</w:t>
      </w:r>
    </w:p>
    <w:p>
      <w:pPr>
        <w:pStyle w:val="FirstParagraph"/>
      </w:pPr>
      <w:r>
        <w:rPr>
          <w:b/>
          <w:bCs/>
        </w:rPr>
        <w:t xml:space="preserve">Direttiva NIS 2</w:t>
      </w:r>
      <w:r>
        <w:t xml:space="preserve"> </w:t>
      </w:r>
      <w:r>
        <w:t xml:space="preserve">= Direttiva (UE) 2022/2555 — Network and Information Security.</w:t>
      </w:r>
      <w:r>
        <w:t xml:space="preserve"> </w:t>
      </w:r>
      <w:r>
        <w:t xml:space="preserve">Recepita in Italia con il</w:t>
      </w:r>
      <w:r>
        <w:t xml:space="preserve"> </w:t>
      </w:r>
      <w:r>
        <w:rPr>
          <w:b/>
          <w:bCs/>
        </w:rPr>
        <w:t xml:space="preserve">D.Lgs. 138/2024</w:t>
      </w:r>
      <w:r>
        <w:t xml:space="preserve"> </w:t>
      </w:r>
      <w:r>
        <w:t xml:space="preserve">(in vigore da ottobre 2024).</w:t>
      </w:r>
      <w:r>
        <w:t xml:space="preserve"> </w:t>
      </w:r>
      <w:r>
        <w:t xml:space="preserve">Sostituisce la NIS 1 (2016), allargandone enormemente l’ambito.</w:t>
      </w:r>
    </w:p>
    <w:bookmarkEnd w:id="33"/>
    <w:bookmarkStart w:id="34" w:name="chi-sono-i-soggetti-nis-2"/>
    <w:p>
      <w:pPr>
        <w:pStyle w:val="Titolo3"/>
      </w:pPr>
      <w:r>
        <w:t xml:space="preserve">3.2 Chi sono i soggetti NIS 2</w:t>
      </w:r>
    </w:p>
    <w:p>
      <w:pPr>
        <w:pStyle w:val="FirstParagraph"/>
      </w:pPr>
      <w:r>
        <w:t xml:space="preserve">Due categorie:</w:t>
      </w:r>
    </w:p>
    <w:p>
      <w:pPr>
        <w:pStyle w:val="BodyText"/>
      </w:pPr>
      <w:r>
        <w:rPr>
          <w:b/>
          <w:bCs/>
        </w:rPr>
        <w:t xml:space="preserve">Soggetti essenziali (Allegato I)</w:t>
      </w:r>
      <w:r>
        <w:t xml:space="preserve"> </w:t>
      </w:r>
      <w:r>
        <w:t xml:space="preserve">— settori critici:</w:t>
      </w:r>
      <w:r>
        <w:t xml:space="preserve"> </w:t>
      </w:r>
      <w:r>
        <w:t xml:space="preserve">- Energia (elettricità, gas, petrolio)</w:t>
      </w:r>
      <w:r>
        <w:t xml:space="preserve"> </w:t>
      </w:r>
      <w:r>
        <w:t xml:space="preserve">- Trasporti (aereo, ferroviario, stradale, navale)</w:t>
      </w:r>
      <w:r>
        <w:t xml:space="preserve"> </w:t>
      </w:r>
      <w:r>
        <w:t xml:space="preserve">- Banche e mercati finanziari</w:t>
      </w:r>
      <w:r>
        <w:t xml:space="preserve"> </w:t>
      </w:r>
      <w:r>
        <w:t xml:space="preserve">- Sanità</w:t>
      </w:r>
      <w:r>
        <w:t xml:space="preserve"> </w:t>
      </w:r>
      <w:r>
        <w:t xml:space="preserve">- Acqua potabile e acque reflue</w:t>
      </w:r>
      <w:r>
        <w:t xml:space="preserve"> </w:t>
      </w:r>
      <w:r>
        <w:t xml:space="preserve">- Infrastrutture digitali (DNS, TLD, cloud, datacenter)</w:t>
      </w:r>
      <w:r>
        <w:t xml:space="preserve"> </w:t>
      </w:r>
      <w:r>
        <w:t xml:space="preserve">- Pubbliche amministrazioni centrali e regionali</w:t>
      </w:r>
      <w:r>
        <w:t xml:space="preserve"> </w:t>
      </w:r>
      <w:r>
        <w:t xml:space="preserve">- Spazio</w:t>
      </w:r>
    </w:p>
    <w:p>
      <w:pPr>
        <w:pStyle w:val="BodyText"/>
      </w:pPr>
      <w:r>
        <w:rPr>
          <w:b/>
          <w:bCs/>
        </w:rPr>
        <w:t xml:space="preserve">Soggetti importanti (Allegato II)</w:t>
      </w:r>
      <w:r>
        <w:t xml:space="preserve">:</w:t>
      </w:r>
      <w:r>
        <w:t xml:space="preserve"> </w:t>
      </w:r>
      <w:r>
        <w:t xml:space="preserve">- Servizi postali</w:t>
      </w:r>
      <w:r>
        <w:t xml:space="preserve"> </w:t>
      </w:r>
      <w:r>
        <w:t xml:space="preserve">- Gestione rifiuti</w:t>
      </w:r>
      <w:r>
        <w:t xml:space="preserve"> </w:t>
      </w:r>
      <w:r>
        <w:t xml:space="preserve">- Manifattura di prodotti critici (chimica, dispositivi medici, ICT)</w:t>
      </w:r>
      <w:r>
        <w:t xml:space="preserve"> </w:t>
      </w:r>
      <w:r>
        <w:t xml:space="preserve">- Produzione e distribuzione alimentare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Servizi digitali</w:t>
      </w:r>
      <w:r>
        <w:t xml:space="preserve"> </w:t>
      </w:r>
      <w:r>
        <w:t xml:space="preserve">(social network, motori di ricerca, marketplace)</w:t>
      </w:r>
      <w:r>
        <w:t xml:space="preserve"> </w:t>
      </w:r>
      <w:r>
        <w:t xml:space="preserve">- Ricerca</w:t>
      </w:r>
    </w:p>
    <w:bookmarkEnd w:id="34"/>
    <w:bookmarkStart w:id="35" w:name="soglie-dimensionali"/>
    <w:p>
      <w:pPr>
        <w:pStyle w:val="Titolo3"/>
      </w:pPr>
      <w:r>
        <w:t xml:space="preserve">3.3 Soglie dimensionali</w:t>
      </w:r>
    </w:p>
    <w:p>
      <w:pPr>
        <w:pStyle w:val="FirstParagraph"/>
      </w:pPr>
      <w:r>
        <w:t xml:space="preserve">NIS 2 si applica a soggetti dei settori sopra</w:t>
      </w:r>
      <w:r>
        <w:t xml:space="preserve"> </w:t>
      </w:r>
      <w:r>
        <w:rPr>
          <w:b/>
          <w:bCs/>
        </w:rPr>
        <w:t xml:space="preserve">con almeno</w:t>
      </w:r>
      <w:r>
        <w:t xml:space="preserve">:</w:t>
      </w:r>
      <w:r>
        <w:t xml:space="preserve"> </w:t>
      </w:r>
      <w:r>
        <w:t xml:space="preserve">- 50 dipendenti, OPPURE</w:t>
      </w:r>
      <w:r>
        <w:t xml:space="preserve"> </w:t>
      </w:r>
      <w:r>
        <w:t xml:space="preserve">- 10M€ di fatturato annuo</w:t>
      </w:r>
    </w:p>
    <w:p>
      <w:pPr>
        <w:pStyle w:val="BodyText"/>
      </w:pPr>
      <w:r>
        <w:t xml:space="preserve">Eccezione: alcuni soggetti (es. fornitori di DNS, TLD, telecom)</w:t>
      </w:r>
      <w:r>
        <w:t xml:space="preserve"> </w:t>
      </w:r>
      <w:r>
        <w:rPr>
          <w:b/>
          <w:bCs/>
        </w:rPr>
        <w:t xml:space="preserve">a prescindere dalle dimensioni</w:t>
      </w:r>
      <w:r>
        <w:t xml:space="preserve">.</w:t>
      </w:r>
    </w:p>
    <w:bookmarkEnd w:id="35"/>
    <w:bookmarkStart w:id="38" w:name="cosa-devi-fare-se-sei-soggetto-nis-2"/>
    <w:p>
      <w:pPr>
        <w:pStyle w:val="Titolo3"/>
      </w:pPr>
      <w:r>
        <w:t xml:space="preserve">3.4 Cosa devi fare se sei</w:t>
      </w:r>
      <w:r>
        <w:t xml:space="preserve"> </w:t>
      </w:r>
      <w:r>
        <w:t xml:space="preserve">“soggetto”</w:t>
      </w:r>
      <w:r>
        <w:t xml:space="preserve"> </w:t>
      </w:r>
      <w:r>
        <w:t xml:space="preserve">NIS 2</w:t>
      </w:r>
    </w:p>
    <w:bookmarkStart w:id="36" w:name="art.-21-misure-di-gestione-dei-rischi"/>
    <w:p>
      <w:pPr>
        <w:pStyle w:val="Titolo4"/>
      </w:pPr>
      <w:r>
        <w:t xml:space="preserve">Art. 21 — Misure di gestione dei rischi</w:t>
      </w:r>
    </w:p>
    <w:p>
      <w:pPr>
        <w:pStyle w:val="FirstParagraph"/>
      </w:pPr>
      <w:r>
        <w:t xml:space="preserve">Almeno</w:t>
      </w:r>
      <w:r>
        <w:t xml:space="preserve"> </w:t>
      </w:r>
      <w:r>
        <w:rPr>
          <w:b/>
          <w:bCs/>
        </w:rPr>
        <w:t xml:space="preserve">10 categorie di misure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Politiche di sicurezza e analisi dei rischi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Gestione degli incidenti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Continuità operativa</w:t>
      </w:r>
      <w:r>
        <w:t xml:space="preserve"> </w:t>
      </w:r>
      <w:r>
        <w:t xml:space="preserve">(backup, disaster recovery, gestione crisi)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Sicurezza della supply chain</w:t>
      </w:r>
      <w:r>
        <w:t xml:space="preserve"> </w:t>
      </w:r>
      <w:r>
        <w:t xml:space="preserve">(rapporti con fornitori)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Sicurezza nell’acquisizione, sviluppo e manutenzione di sistemi</w:t>
      </w:r>
      <w:r>
        <w:t xml:space="preserve">,</w:t>
      </w:r>
      <w:r>
        <w:t xml:space="preserve"> </w:t>
      </w:r>
      <w:r>
        <w:rPr>
          <w:b/>
          <w:bCs/>
        </w:rPr>
        <w:t xml:space="preserve">gestione delle vulnerabilità</w:t>
      </w:r>
    </w:p>
    <w:p>
      <w:pPr>
        <w:pStyle w:val="Compact"/>
        <w:numPr>
          <w:ilvl w:val="0"/>
          <w:numId w:val="1008"/>
        </w:numPr>
      </w:pPr>
      <w:r>
        <w:t xml:space="preserve">Politiche e procedure di valutazione dell’efficacia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Igiene cibernetica e formazione</w:t>
      </w:r>
    </w:p>
    <w:p>
      <w:pPr>
        <w:pStyle w:val="Compact"/>
        <w:numPr>
          <w:ilvl w:val="0"/>
          <w:numId w:val="1008"/>
        </w:numPr>
      </w:pPr>
      <w:r>
        <w:t xml:space="preserve">Politiche di</w:t>
      </w:r>
      <w:r>
        <w:t xml:space="preserve"> </w:t>
      </w:r>
      <w:r>
        <w:rPr>
          <w:b/>
          <w:bCs/>
        </w:rPr>
        <w:t xml:space="preserve">cifratura</w:t>
      </w:r>
    </w:p>
    <w:p>
      <w:pPr>
        <w:pStyle w:val="Compact"/>
        <w:numPr>
          <w:ilvl w:val="0"/>
          <w:numId w:val="1008"/>
        </w:numPr>
      </w:pPr>
      <w:r>
        <w:t xml:space="preserve">Sicurezza del personale, controllo accessi, gestione asset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Autenticazione a più fattori</w:t>
      </w:r>
      <w:r>
        <w:t xml:space="preserve">, comunicazioni vocali/video sicure</w:t>
      </w:r>
    </w:p>
    <w:p>
      <w:pPr>
        <w:pStyle w:val="BlockText"/>
      </w:pPr>
      <w:r>
        <w:t xml:space="preserve">Il punto 5 è</w:t>
      </w:r>
      <w:r>
        <w:t xml:space="preserve"> </w:t>
      </w:r>
      <w:r>
        <w:rPr>
          <w:b/>
          <w:bCs/>
        </w:rPr>
        <w:t xml:space="preserve">direttamente sui processi di sviluppo software</w:t>
      </w:r>
      <w:r>
        <w:t xml:space="preserve">. Ti chiedono di avere SDLC sicuro, gestione vulnerabilità, code review, ecc.</w:t>
      </w:r>
    </w:p>
    <w:bookmarkEnd w:id="36"/>
    <w:bookmarkStart w:id="37" w:name="Xbb86f2096805f8a7f8275d45b9a553f7b665f0a"/>
    <w:p>
      <w:pPr>
        <w:pStyle w:val="Titolo4"/>
      </w:pPr>
      <w:r>
        <w:t xml:space="preserve">Art. 23 — Obbligo di notifica (la differenza con GDPR)</w:t>
      </w:r>
    </w:p>
    <w:p>
      <w:pPr>
        <w:pStyle w:val="FirstParagraph"/>
      </w:pPr>
      <w:r>
        <w:t xml:space="preserve">Diversamente dal GDPR (72h), NIS 2 prevede</w:t>
      </w:r>
      <w:r>
        <w:t xml:space="preserve"> </w:t>
      </w:r>
      <w:r>
        <w:rPr>
          <w:b/>
          <w:bCs/>
        </w:rPr>
        <w:t xml:space="preserve">3 fasi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Cosa fai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Entro 24 ore</w:t>
            </w:r>
          </w:p>
        </w:tc>
        <w:tc>
          <w:tcPr/>
          <w:p>
            <w:pPr>
              <w:pStyle w:val="Compact"/>
            </w:pPr>
            <w:r>
              <w:t xml:space="preserve">“Early warning”</w:t>
            </w:r>
            <w:r>
              <w:t xml:space="preserve"> </w:t>
            </w:r>
            <w:r>
              <w:t xml:space="preserve">preliminare al CSIRT/autorità competente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Entro 72 ore</w:t>
            </w:r>
          </w:p>
        </w:tc>
        <w:tc>
          <w:tcPr/>
          <w:p>
            <w:pPr>
              <w:pStyle w:val="Compact"/>
            </w:pPr>
            <w:r>
              <w:t xml:space="preserve">Notifica completa con dettagli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Entro 30 giorni</w:t>
            </w:r>
          </w:p>
        </w:tc>
        <w:tc>
          <w:tcPr/>
          <w:p>
            <w:pPr>
              <w:pStyle w:val="Compact"/>
            </w:pPr>
            <w:r>
              <w:t xml:space="preserve">Report finale con cause e misure</w:t>
            </w:r>
          </w:p>
        </w:tc>
      </w:tr>
    </w:tbl>
    <w:p>
      <w:pPr>
        <w:pStyle w:val="BodyText"/>
      </w:pPr>
      <w:r>
        <w:t xml:space="preserve">Le 24 ore sono</w:t>
      </w:r>
      <w:r>
        <w:t xml:space="preserve"> </w:t>
      </w:r>
      <w:r>
        <w:rPr>
          <w:b/>
          <w:bCs/>
        </w:rPr>
        <w:t xml:space="preserve">strette</w:t>
      </w:r>
      <w:r>
        <w:t xml:space="preserve">: serve un piano di incident response.</w:t>
      </w:r>
    </w:p>
    <w:bookmarkEnd w:id="37"/>
    <w:bookmarkEnd w:id="38"/>
    <w:bookmarkStart w:id="39" w:name="sanzioni-nis-2"/>
    <w:p>
      <w:pPr>
        <w:pStyle w:val="Titolo3"/>
      </w:pPr>
      <w:r>
        <w:t xml:space="preserve">3.5 Sanzioni NIS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Massimo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Soggetti</w:t>
            </w:r>
            <w:r>
              <w:t xml:space="preserve"> </w:t>
            </w:r>
            <w:r>
              <w:rPr>
                <w:b/>
                <w:bCs/>
              </w:rPr>
              <w:t xml:space="preserve">essenziali</w:t>
            </w:r>
          </w:p>
        </w:tc>
        <w:tc>
          <w:tcPr/>
          <w:p>
            <w:pPr>
              <w:pStyle w:val="Compact"/>
            </w:pPr>
            <w:r>
              <w:t xml:space="preserve">10M€ o 2% fatturato (il maggiore)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Soggetti</w:t>
            </w:r>
            <w:r>
              <w:t xml:space="preserve"> </w:t>
            </w:r>
            <w:r>
              <w:rPr>
                <w:b/>
                <w:bCs/>
              </w:rPr>
              <w:t xml:space="preserve">importanti</w:t>
            </w:r>
          </w:p>
        </w:tc>
        <w:tc>
          <w:tcPr/>
          <w:p>
            <w:pPr>
              <w:pStyle w:val="Compact"/>
            </w:pPr>
            <w:r>
              <w:t xml:space="preserve">7M€ o 1,4% fatturato (il maggiore)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Oltre alla sanzione</w:t>
      </w:r>
      <w:r>
        <w:t xml:space="preserve">: art. 32 prevede la</w:t>
      </w:r>
      <w:r>
        <w:t xml:space="preserve"> </w:t>
      </w:r>
      <w:r>
        <w:rPr>
          <w:b/>
          <w:bCs/>
        </w:rPr>
        <w:t xml:space="preserve">sospensione temporanea dalla carica</w:t>
      </w:r>
      <w:r>
        <w:t xml:space="preserve"> </w:t>
      </w:r>
      <w:r>
        <w:t xml:space="preserve">per dirigenti che abbiano commesso violazioni.</w:t>
      </w:r>
    </w:p>
    <w:bookmarkEnd w:id="39"/>
    <w:bookmarkStart w:id="40" w:name="X2d409eddfa9379fbc86392255c939d84d581ebf"/>
    <w:p>
      <w:pPr>
        <w:pStyle w:val="Titolo3"/>
      </w:pPr>
      <w:r>
        <w:t xml:space="preserve">3.6 GDPR vs NIS 2: quando si applicano insieme?</w:t>
      </w:r>
    </w:p>
    <w:p>
      <w:pPr>
        <w:pStyle w:val="FirstParagraph"/>
      </w:pPr>
      <w:r>
        <w:t xml:space="preserve">Spesso. Esempio: una banca italiana ha un breach che espone dati clienti.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GDPR</w:t>
      </w:r>
      <w:r>
        <w:t xml:space="preserve"> </w:t>
      </w:r>
      <w:r>
        <w:t xml:space="preserve">si applica: sono dati personali → notifica al Garante 72h, possibile sanzione fino a 20M€/4%.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NIS 2</w:t>
      </w:r>
      <w:r>
        <w:t xml:space="preserve"> </w:t>
      </w:r>
      <w:r>
        <w:t xml:space="preserve">si applica: la banca è soggetto essenziale → notifica al CSIRT 24h + 72h + 30gg, possibile sanzione fino a 10M€/2%.</w:t>
      </w:r>
    </w:p>
    <w:p>
      <w:pPr>
        <w:pStyle w:val="FirstParagraph"/>
      </w:pPr>
      <w:r>
        <w:t xml:space="preserve">Le sanzioni si</w:t>
      </w:r>
      <w:r>
        <w:t xml:space="preserve"> </w:t>
      </w:r>
      <w:r>
        <w:rPr>
          <w:b/>
          <w:bCs/>
        </w:rPr>
        <w:t xml:space="preserve">cumulano</w:t>
      </w:r>
      <w:r>
        <w:t xml:space="preserve">. E il management può essere sospeso.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4 — Cyber Resilience Act (CRA)</w:t>
      </w:r>
    </w:p>
    <w:p>
      <w:pPr>
        <w:pStyle w:val="BlockText"/>
      </w:pPr>
      <w:r>
        <w:t xml:space="preserve">Quanto ci vorrà: 20 minuti.</w:t>
      </w:r>
    </w:p>
    <w:bookmarkEnd w:id="40"/>
    <w:bookmarkStart w:id="41" w:name="cra-in-3-righe"/>
    <w:p>
      <w:pPr>
        <w:pStyle w:val="Titolo3"/>
      </w:pPr>
      <w:r>
        <w:t xml:space="preserve">4.1 CRA in 3 righe</w:t>
      </w:r>
    </w:p>
    <w:p>
      <w:pPr>
        <w:pStyle w:val="FirstParagraph"/>
      </w:pPr>
      <w:r>
        <w:rPr>
          <w:b/>
          <w:bCs/>
        </w:rPr>
        <w:t xml:space="preserve">Cyber Resilience Act</w:t>
      </w:r>
      <w:r>
        <w:t xml:space="preserve"> </w:t>
      </w:r>
      <w:r>
        <w:t xml:space="preserve">= Regolamento (UE) 2024/2847.</w:t>
      </w:r>
      <w:r>
        <w:t xml:space="preserve"> </w:t>
      </w:r>
      <w:r>
        <w:rPr>
          <w:b/>
          <w:bCs/>
        </w:rPr>
        <w:t xml:space="preserve">Entrata in vigore piena: dicembre 2027</w:t>
      </w:r>
      <w:r>
        <w:t xml:space="preserve">.</w:t>
      </w:r>
      <w:r>
        <w:t xml:space="preserve"> </w:t>
      </w:r>
      <w:r>
        <w:t xml:space="preserve">Si applica a</w:t>
      </w:r>
      <w:r>
        <w:t xml:space="preserve"> </w:t>
      </w:r>
      <w:r>
        <w:rPr>
          <w:b/>
          <w:bCs/>
        </w:rPr>
        <w:t xml:space="preserve">prodotti con elementi digitali</w:t>
      </w:r>
      <w:r>
        <w:t xml:space="preserve"> </w:t>
      </w:r>
      <w:r>
        <w:t xml:space="preserve">venduti nel mercato UE.</w:t>
      </w:r>
    </w:p>
    <w:bookmarkEnd w:id="41"/>
    <w:bookmarkStart w:id="42" w:name="cosa-cambia-con-cra"/>
    <w:p>
      <w:pPr>
        <w:pStyle w:val="Titolo3"/>
      </w:pPr>
      <w:r>
        <w:t xml:space="preserve">4.2 Cosa cambia con CRA</w:t>
      </w:r>
    </w:p>
    <w:p>
      <w:pPr>
        <w:pStyle w:val="FirstParagraph"/>
      </w:pPr>
      <w:r>
        <w:t xml:space="preserve">Per la prima volta in UE, esiste un regolamento che dice:</w:t>
      </w:r>
      <w:r>
        <w:t xml:space="preserve"> </w:t>
      </w:r>
      <w:r>
        <w:rPr>
          <w:b/>
          <w:bCs/>
        </w:rPr>
        <w:t xml:space="preserve">“un prodotto con software venduto qui deve essere sicuro”</w:t>
      </w:r>
      <w:r>
        <w:t xml:space="preserve">.</w:t>
      </w:r>
    </w:p>
    <w:p>
      <w:pPr>
        <w:pStyle w:val="BodyText"/>
      </w:pPr>
      <w:r>
        <w:t xml:space="preserve">Si applica a:</w:t>
      </w:r>
      <w:r>
        <w:t xml:space="preserve"> </w:t>
      </w:r>
      <w:r>
        <w:t xml:space="preserve">- Prodotti hardware</w:t>
      </w:r>
      <w:r>
        <w:t xml:space="preserve"> </w:t>
      </w:r>
      <w:r>
        <w:rPr>
          <w:b/>
          <w:bCs/>
        </w:rPr>
        <w:t xml:space="preserve">con software</w:t>
      </w:r>
      <w:r>
        <w:t xml:space="preserve"> </w:t>
      </w:r>
      <w:r>
        <w:t xml:space="preserve">(router, IoT, dispositivi medici, ecc.)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Software puro</w:t>
      </w:r>
      <w:r>
        <w:t xml:space="preserve"> </w:t>
      </w:r>
      <w:r>
        <w:t xml:space="preserve">(applicazioni, librerie, framework)</w:t>
      </w:r>
      <w:r>
        <w:t xml:space="preserve"> </w:t>
      </w:r>
      <w:r>
        <w:t xml:space="preserve">- SaaS no (hanno altre normative — NIS 2)</w:t>
      </w:r>
    </w:p>
    <w:bookmarkEnd w:id="42"/>
    <w:bookmarkStart w:id="43" w:name="obblighi-principali"/>
    <w:p>
      <w:pPr>
        <w:pStyle w:val="Titolo3"/>
      </w:pPr>
      <w:r>
        <w:t xml:space="preserve">4.3 Obblighi principali</w:t>
      </w:r>
    </w:p>
    <w:p>
      <w:pPr>
        <w:pStyle w:val="FirstParagraph"/>
      </w:pPr>
      <w:r>
        <w:t xml:space="preserve">I produttori (incluse le software house) devono: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Cybersecurity by design e by default</w:t>
      </w:r>
      <w:r>
        <w:t xml:space="preserve"> </w:t>
      </w:r>
      <w:r>
        <w:t xml:space="preserve">— analoghi a GDPR Art. 25.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Niente vulnerabilità note</w:t>
      </w:r>
      <w:r>
        <w:t xml:space="preserve"> </w:t>
      </w:r>
      <w:r>
        <w:t xml:space="preserve">al momento della vendita.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Patching tempestivo</w:t>
      </w:r>
      <w:r>
        <w:t xml:space="preserve"> </w:t>
      </w:r>
      <w:r>
        <w:t xml:space="preserve">delle vulnerabilità durante il</w:t>
      </w:r>
      <w:r>
        <w:t xml:space="preserve"> </w:t>
      </w:r>
      <w:r>
        <w:t xml:space="preserve">“supporto previsto”</w:t>
      </w:r>
      <w:r>
        <w:t xml:space="preserve"> </w:t>
      </w:r>
      <w:r>
        <w:t xml:space="preserve">(minimo 5 anni di default).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SBOM obbligatorio</w:t>
      </w:r>
      <w:r>
        <w:t xml:space="preserve"> </w:t>
      </w:r>
      <w:r>
        <w:t xml:space="preserve">— Software Bill of Materials.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Segnalazione attiva di vulnerabilità sfruttate attivamente</w:t>
      </w:r>
      <w:r>
        <w:t xml:space="preserve"> </w:t>
      </w:r>
      <w:r>
        <w:t xml:space="preserve">entro 24h all’ENISA + autorità nazionale.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Documentazione tecnica</w:t>
      </w:r>
      <w:r>
        <w:t xml:space="preserve"> </w:t>
      </w:r>
      <w:r>
        <w:t xml:space="preserve">per dimostrare conformità.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Marcatura CE</w:t>
      </w:r>
      <w:r>
        <w:t xml:space="preserve"> </w:t>
      </w:r>
      <w:r>
        <w:t xml:space="preserve">estesa al cyber.</w:t>
      </w:r>
    </w:p>
    <w:bookmarkEnd w:id="43"/>
    <w:bookmarkStart w:id="44" w:name="categorie-di-prodotto-criticità-diverse"/>
    <w:p>
      <w:pPr>
        <w:pStyle w:val="Titolo3"/>
      </w:pPr>
      <w:r>
        <w:t xml:space="preserve">4.4 Categorie di prodotto (criticità diverse)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1545"/>
        <w:gridCol w:w="4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Esempi</w:t>
            </w:r>
          </w:p>
        </w:tc>
        <w:tc>
          <w:tcPr/>
          <w:p>
            <w:pPr>
              <w:pStyle w:val="Compact"/>
            </w:pPr>
            <w:r>
              <w:t xml:space="preserve">Conformità richiesta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(90% dei prodotti)</w:t>
            </w:r>
          </w:p>
        </w:tc>
        <w:tc>
          <w:tcPr/>
          <w:p>
            <w:pPr>
              <w:pStyle w:val="Compact"/>
            </w:pPr>
            <w:r>
              <w:t xml:space="preserve">App generiche</w:t>
            </w:r>
          </w:p>
        </w:tc>
        <w:tc>
          <w:tcPr/>
          <w:p>
            <w:pPr>
              <w:pStyle w:val="Compact"/>
            </w:pPr>
            <w:r>
              <w:t xml:space="preserve">Auto-valutazione del produttore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Importanti — Classe I</w:t>
            </w:r>
            <w:r>
              <w:t xml:space="preserve"> </w:t>
            </w:r>
            <w:r>
              <w:t xml:space="preserve">(Allegato III)</w:t>
            </w:r>
          </w:p>
        </w:tc>
        <w:tc>
          <w:tcPr/>
          <w:p>
            <w:pPr>
              <w:pStyle w:val="Compact"/>
            </w:pPr>
            <w:r>
              <w:t xml:space="preserve">Browser, password manager, antivirus, smart home</w:t>
            </w:r>
          </w:p>
        </w:tc>
        <w:tc>
          <w:tcPr/>
          <w:p>
            <w:pPr>
              <w:pStyle w:val="Compact"/>
            </w:pPr>
            <w:r>
              <w:t xml:space="preserve">Auto-valutazione + standard armonizzati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Importanti — Classe II</w:t>
            </w:r>
          </w:p>
        </w:tc>
        <w:tc>
          <w:tcPr/>
          <w:p>
            <w:pPr>
              <w:pStyle w:val="Compact"/>
            </w:pPr>
            <w:r>
              <w:t xml:space="preserve">Sistemi operativi, hypervisor, firewall, container runtime</w:t>
            </w:r>
          </w:p>
        </w:tc>
        <w:tc>
          <w:tcPr/>
          <w:p>
            <w:pPr>
              <w:pStyle w:val="Compact"/>
            </w:pPr>
            <w:r>
              <w:t xml:space="preserve">Valutazione di terza parte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Critici</w:t>
            </w:r>
            <w:r>
              <w:t xml:space="preserve"> </w:t>
            </w:r>
            <w:r>
              <w:t xml:space="preserve">(Allegato IV)</w:t>
            </w:r>
          </w:p>
        </w:tc>
        <w:tc>
          <w:tcPr/>
          <w:p>
            <w:pPr>
              <w:pStyle w:val="Compact"/>
            </w:pPr>
            <w:r>
              <w:t xml:space="preserve">Hardware security modules, smart card</w:t>
            </w:r>
          </w:p>
        </w:tc>
        <w:tc>
          <w:tcPr/>
          <w:p>
            <w:pPr>
              <w:pStyle w:val="Compact"/>
            </w:pPr>
            <w:r>
              <w:t xml:space="preserve">Certificazione cyber di terza parte obbligatoria</w:t>
            </w:r>
          </w:p>
        </w:tc>
      </w:tr>
    </w:tbl>
    <w:bookmarkEnd w:id="44"/>
    <w:bookmarkStart w:id="45" w:name="sanzioni-cra"/>
    <w:p>
      <w:pPr>
        <w:pStyle w:val="Titolo3"/>
      </w:pPr>
      <w:r>
        <w:t xml:space="preserve">4.5 Sanzioni CRA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Violazione</w:t>
            </w:r>
          </w:p>
        </w:tc>
        <w:tc>
          <w:tcPr/>
          <w:p>
            <w:pPr>
              <w:pStyle w:val="Compact"/>
            </w:pPr>
            <w:r>
              <w:t xml:space="preserve">Massimo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 conformità requisiti essenziali</w:t>
            </w:r>
          </w:p>
        </w:tc>
        <w:tc>
          <w:tcPr/>
          <w:p>
            <w:pPr>
              <w:pStyle w:val="Compact"/>
            </w:pPr>
            <w:r>
              <w:t xml:space="preserve">15M€ o 2,5% fatturato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Altre violazioni</w:t>
            </w:r>
          </w:p>
        </w:tc>
        <w:tc>
          <w:tcPr/>
          <w:p>
            <w:pPr>
              <w:pStyle w:val="Compact"/>
            </w:pPr>
            <w:r>
              <w:t xml:space="preserve">10M€ o 2% fatturato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Informazioni false alle autorità</w:t>
            </w:r>
          </w:p>
        </w:tc>
        <w:tc>
          <w:tcPr/>
          <w:p>
            <w:pPr>
              <w:pStyle w:val="Compact"/>
            </w:pPr>
            <w:r>
              <w:t xml:space="preserve">5M€ o 1% fatturato</w:t>
            </w:r>
          </w:p>
        </w:tc>
      </w:tr>
    </w:tbl>
    <w:bookmarkEnd w:id="45"/>
    <w:bookmarkStart w:id="46" w:name="tempistiche"/>
    <w:p>
      <w:pPr>
        <w:pStyle w:val="Titolo3"/>
      </w:pPr>
      <w:r>
        <w:t xml:space="preserve">4.6 Tempistiche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Cosa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Dicembre 2024</w:t>
            </w:r>
          </w:p>
        </w:tc>
        <w:tc>
          <w:tcPr/>
          <w:p>
            <w:pPr>
              <w:pStyle w:val="Compact"/>
            </w:pPr>
            <w:r>
              <w:t xml:space="preserve">CRA pubblicato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Settembre 2026</w:t>
            </w:r>
          </w:p>
        </w:tc>
        <w:tc>
          <w:tcPr/>
          <w:p>
            <w:pPr>
              <w:pStyle w:val="Compact"/>
            </w:pPr>
            <w:r>
              <w:t xml:space="preserve">Obblighi di notifica vulnerabilità attive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Dicembre 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Piena applicazione</w:t>
            </w:r>
            <w:r>
              <w:t xml:space="preserve"> </w:t>
            </w:r>
            <w:r>
              <w:t xml:space="preserve">— niente prodotti non conformi sul mercato UE</w:t>
            </w:r>
          </w:p>
        </w:tc>
      </w:tr>
    </w:tbl>
    <w:bookmarkEnd w:id="46"/>
    <w:bookmarkStart w:id="47" w:name="cosa-significa-per-chi-scrive-codice"/>
    <w:p>
      <w:pPr>
        <w:pStyle w:val="Titolo3"/>
      </w:pPr>
      <w:r>
        <w:t xml:space="preserve">4.7 Cosa significa per chi scrive codice</w:t>
      </w:r>
    </w:p>
    <w:p>
      <w:pPr>
        <w:pStyle w:val="FirstParagraph"/>
      </w:pPr>
      <w:r>
        <w:rPr>
          <w:b/>
          <w:bCs/>
        </w:rPr>
        <w:t xml:space="preserve">Tutto cambia per uno sviluppatore di prodotti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Prima del CRA:</w:t>
      </w:r>
      <w:r>
        <w:t xml:space="preserve"> </w:t>
      </w:r>
      <w:r>
        <w:t xml:space="preserve">“spedisco la versione 1.0, se trovo bug li fixo a discrezione”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Dopo il CRA:</w:t>
      </w:r>
      <w:r>
        <w:t xml:space="preserve"> </w:t>
      </w:r>
      <w:r>
        <w:t xml:space="preserve">“spedisco solo se non ci sono CVE note, devo fixare entro X giorni le CVE che escono per i prossimi 5 anni, tengo SBOM aggiornato”</w:t>
      </w:r>
      <w:r>
        <w:t xml:space="preserve">.</w:t>
      </w:r>
    </w:p>
    <w:p>
      <w:pPr>
        <w:pStyle w:val="FirstParagraph"/>
      </w:pPr>
      <w:r>
        <w:t xml:space="preserve">L’industria si sta preparando ora. Le</w:t>
      </w:r>
      <w:r>
        <w:t xml:space="preserve"> </w:t>
      </w:r>
      <w:r>
        <w:rPr>
          <w:b/>
          <w:bCs/>
        </w:rPr>
        <w:t xml:space="preserve">prossime CV</w:t>
      </w:r>
      <w:r>
        <w:t xml:space="preserve"> </w:t>
      </w:r>
      <w:r>
        <w:t xml:space="preserve">in cybersecurity per developer chiederanno familiarità con CRA.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5 — Tabella errore → norma (memorizza questa)</w:t>
      </w:r>
    </w:p>
    <w:p>
      <w:pPr>
        <w:pStyle w:val="BlockText"/>
      </w:pPr>
      <w:r>
        <w:t xml:space="preserve">Questa tabella entra</w:t>
      </w:r>
      <w:r>
        <w:t xml:space="preserve"> </w:t>
      </w:r>
      <w:r>
        <w:rPr>
          <w:b/>
          <w:bCs/>
        </w:rPr>
        <w:t xml:space="preserve">sempre</w:t>
      </w:r>
      <w:r>
        <w:t xml:space="preserve"> </w:t>
      </w:r>
      <w:r>
        <w:t xml:space="preserve">nei test del corso.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86"/>
        <w:gridCol w:w="955"/>
        <w:gridCol w:w="1365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Errore tecnico nel codice</w:t>
            </w:r>
          </w:p>
        </w:tc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Articolo</w:t>
            </w:r>
          </w:p>
        </w:tc>
        <w:tc>
          <w:tcPr/>
          <w:p>
            <w:pPr>
              <w:pStyle w:val="Compact"/>
            </w:pPr>
            <w:r>
              <w:t xml:space="preserve">Sanzione 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Injection</w:t>
            </w:r>
            <w:r>
              <w:t xml:space="preserve"> </w:t>
            </w:r>
            <w:r>
              <w:t xml:space="preserve">che espone dati personali</w:t>
            </w:r>
          </w:p>
        </w:tc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Art. 5(1)(f), Art. 32</w:t>
            </w:r>
          </w:p>
        </w:tc>
        <w:tc>
          <w:tcPr/>
          <w:p>
            <w:pPr>
              <w:pStyle w:val="Compact"/>
            </w:pPr>
            <w:r>
              <w:t xml:space="preserve">20M€ / 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salvate in chiaro o con MD5</w:t>
            </w:r>
          </w:p>
        </w:tc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Art. 32(1)(a)</w:t>
            </w:r>
          </w:p>
        </w:tc>
        <w:tc>
          <w:tcPr/>
          <w:p>
            <w:pPr>
              <w:pStyle w:val="Compact"/>
            </w:pPr>
            <w:r>
              <w:t xml:space="preserve">20M€ / 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cifratura in transito</w:t>
            </w:r>
            <w:r>
              <w:t xml:space="preserve"> </w:t>
            </w:r>
            <w:r>
              <w:t xml:space="preserve">(HTTP invece di HTTPS)</w:t>
            </w:r>
          </w:p>
        </w:tc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Art. 32(1)(a)</w:t>
            </w:r>
          </w:p>
        </w:tc>
        <w:tc>
          <w:tcPr/>
          <w:p>
            <w:pPr>
              <w:pStyle w:val="Compact"/>
            </w:pPr>
            <w:r>
              <w:t xml:space="preserve">20M€ / 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Mancata notifica breach entro 72h</w:t>
            </w:r>
          </w:p>
        </w:tc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Art. 33</w:t>
            </w:r>
          </w:p>
        </w:tc>
        <w:tc>
          <w:tcPr/>
          <w:p>
            <w:pPr>
              <w:pStyle w:val="Compact"/>
            </w:pPr>
            <w:r>
              <w:t xml:space="preserve">10M€ / 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 raccoglie dati eccessivi</w:t>
            </w:r>
          </w:p>
        </w:tc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Art. 5(1)(c)</w:t>
            </w:r>
          </w:p>
        </w:tc>
        <w:tc>
          <w:tcPr/>
          <w:p>
            <w:pPr>
              <w:pStyle w:val="Compact"/>
            </w:pPr>
            <w:r>
              <w:t xml:space="preserve">20M€ / 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Nessuna cancellazione automatica</w:t>
            </w:r>
            <w:r>
              <w:t xml:space="preserve"> </w:t>
            </w:r>
            <w:r>
              <w:t xml:space="preserve">dopo retention</w:t>
            </w:r>
          </w:p>
        </w:tc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Art. 5(1)(e)</w:t>
            </w:r>
          </w:p>
        </w:tc>
        <w:tc>
          <w:tcPr/>
          <w:p>
            <w:pPr>
              <w:pStyle w:val="Compact"/>
            </w:pPr>
            <w:r>
              <w:t xml:space="preserve">20M€ / 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di scoring senza intervento umano</w:t>
            </w:r>
            <w:r>
              <w:t xml:space="preserve"> </w:t>
            </w:r>
            <w:r>
              <w:t xml:space="preserve">(Art. 22)</w:t>
            </w:r>
          </w:p>
        </w:tc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Art. 22, Art. 35</w:t>
            </w:r>
          </w:p>
        </w:tc>
        <w:tc>
          <w:tcPr/>
          <w:p>
            <w:pPr>
              <w:pStyle w:val="Compact"/>
            </w:pPr>
            <w:r>
              <w:t xml:space="preserve">20M€ / 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DPIA</w:t>
            </w:r>
            <w:r>
              <w:t xml:space="preserve"> </w:t>
            </w:r>
            <w:r>
              <w:t xml:space="preserve">per riconoscimento facciale</w:t>
            </w:r>
          </w:p>
        </w:tc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Art. 35</w:t>
            </w:r>
          </w:p>
        </w:tc>
        <w:tc>
          <w:tcPr/>
          <w:p>
            <w:pPr>
              <w:pStyle w:val="Compact"/>
            </w:pPr>
            <w:r>
              <w:t xml:space="preserve">10M€ / 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Vulnerabilità non gestita</w:t>
            </w:r>
            <w:r>
              <w:t xml:space="preserve"> </w:t>
            </w:r>
            <w:r>
              <w:t xml:space="preserve">in software CRA</w:t>
            </w:r>
          </w:p>
        </w:tc>
        <w:tc>
          <w:tcPr/>
          <w:p>
            <w:pPr>
              <w:pStyle w:val="Compact"/>
            </w:pPr>
            <w:r>
              <w:t xml:space="preserve">CRA</w:t>
            </w:r>
          </w:p>
        </w:tc>
        <w:tc>
          <w:tcPr/>
          <w:p>
            <w:pPr>
              <w:pStyle w:val="Compact"/>
            </w:pPr>
            <w:r>
              <w:t xml:space="preserve">Art. 11, Art. 13</w:t>
            </w:r>
          </w:p>
        </w:tc>
        <w:tc>
          <w:tcPr/>
          <w:p>
            <w:pPr>
              <w:pStyle w:val="Compact"/>
            </w:pPr>
            <w:r>
              <w:t xml:space="preserve">15M€ / 2,5%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SBOM</w:t>
            </w:r>
            <w:r>
              <w:t xml:space="preserve"> </w:t>
            </w:r>
            <w:r>
              <w:t xml:space="preserve">in prodotto soggetto CRA</w:t>
            </w:r>
          </w:p>
        </w:tc>
        <w:tc>
          <w:tcPr/>
          <w:p>
            <w:pPr>
              <w:pStyle w:val="Compact"/>
            </w:pPr>
            <w:r>
              <w:t xml:space="preserve">CRA</w:t>
            </w:r>
          </w:p>
        </w:tc>
        <w:tc>
          <w:tcPr/>
          <w:p>
            <w:pPr>
              <w:pStyle w:val="Compact"/>
            </w:pPr>
            <w:r>
              <w:t xml:space="preserve">Art. 13</w:t>
            </w:r>
          </w:p>
        </w:tc>
        <w:tc>
          <w:tcPr/>
          <w:p>
            <w:pPr>
              <w:pStyle w:val="Compact"/>
            </w:pPr>
            <w:r>
              <w:t xml:space="preserve">15M€ / 2,5%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Mancata segnalazione 24h</w:t>
            </w:r>
            <w:r>
              <w:t xml:space="preserve"> </w:t>
            </w:r>
            <w:r>
              <w:t xml:space="preserve">soggetto NIS 2</w:t>
            </w:r>
          </w:p>
        </w:tc>
        <w:tc>
          <w:tcPr/>
          <w:p>
            <w:pPr>
              <w:pStyle w:val="Compact"/>
            </w:pPr>
            <w:r>
              <w:t xml:space="preserve">NIS 2</w:t>
            </w:r>
          </w:p>
        </w:tc>
        <w:tc>
          <w:tcPr/>
          <w:p>
            <w:pPr>
              <w:pStyle w:val="Compact"/>
            </w:pPr>
            <w:r>
              <w:t xml:space="preserve">Art. 23</w:t>
            </w:r>
          </w:p>
        </w:tc>
        <w:tc>
          <w:tcPr/>
          <w:p>
            <w:pPr>
              <w:pStyle w:val="Compact"/>
            </w:pPr>
            <w:r>
              <w:t xml:space="preserve">10M€ / 2% (ess.) o 7M€ / 1,4% (imp.)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MFA</w:t>
            </w:r>
            <w:r>
              <w:t xml:space="preserve"> </w:t>
            </w:r>
            <w:r>
              <w:t xml:space="preserve">in sistema NIS 2</w:t>
            </w:r>
          </w:p>
        </w:tc>
        <w:tc>
          <w:tcPr/>
          <w:p>
            <w:pPr>
              <w:pStyle w:val="Compact"/>
            </w:pPr>
            <w:r>
              <w:t xml:space="preserve">NIS 2</w:t>
            </w:r>
          </w:p>
        </w:tc>
        <w:tc>
          <w:tcPr/>
          <w:p>
            <w:pPr>
              <w:pStyle w:val="Compact"/>
            </w:pPr>
            <w:r>
              <w:t xml:space="preserve">Art. 21</w:t>
            </w:r>
          </w:p>
        </w:tc>
        <w:tc>
          <w:tcPr/>
          <w:p>
            <w:pPr>
              <w:pStyle w:val="Compact"/>
            </w:pPr>
            <w:r>
              <w:t xml:space="preserve">10M€ / 2% (ess.) o 7M€ / 1,4% (imp.)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backup</w:t>
            </w:r>
            <w:r>
              <w:t xml:space="preserve"> </w:t>
            </w:r>
            <w:r>
              <w:t xml:space="preserve">funzionanti in soggetto essenziale</w:t>
            </w:r>
          </w:p>
        </w:tc>
        <w:tc>
          <w:tcPr/>
          <w:p>
            <w:pPr>
              <w:pStyle w:val="Compact"/>
            </w:pPr>
            <w:r>
              <w:t xml:space="preserve">NIS 2</w:t>
            </w:r>
          </w:p>
        </w:tc>
        <w:tc>
          <w:tcPr/>
          <w:p>
            <w:pPr>
              <w:pStyle w:val="Compact"/>
            </w:pPr>
            <w:r>
              <w:t xml:space="preserve">Art. 21(2)(c)</w:t>
            </w:r>
          </w:p>
        </w:tc>
        <w:tc>
          <w:tcPr/>
          <w:p>
            <w:pPr>
              <w:pStyle w:val="Compact"/>
            </w:pPr>
            <w:r>
              <w:t xml:space="preserve">10M€ / 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formazione di sicurezza</w:t>
            </w:r>
            <w:r>
              <w:t xml:space="preserve"> </w:t>
            </w:r>
            <w:r>
              <w:t xml:space="preserve">dei dipendenti</w:t>
            </w:r>
          </w:p>
        </w:tc>
        <w:tc>
          <w:tcPr/>
          <w:p>
            <w:pPr>
              <w:pStyle w:val="Compact"/>
            </w:pPr>
            <w:r>
              <w:t xml:space="preserve">NIS 2</w:t>
            </w:r>
          </w:p>
        </w:tc>
        <w:tc>
          <w:tcPr/>
          <w:p>
            <w:pPr>
              <w:pStyle w:val="Compact"/>
            </w:pPr>
            <w:r>
              <w:t xml:space="preserve">Art. 21(2)(g)</w:t>
            </w:r>
          </w:p>
        </w:tc>
        <w:tc>
          <w:tcPr/>
          <w:p>
            <w:pPr>
              <w:pStyle w:val="Compact"/>
            </w:pPr>
            <w:r>
              <w:t xml:space="preserve">10M€ / 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Nessuna validazione del fornitore</w:t>
            </w:r>
            <w:r>
              <w:t xml:space="preserve"> </w:t>
            </w:r>
            <w:r>
              <w:t xml:space="preserve">(supply chain)</w:t>
            </w:r>
          </w:p>
        </w:tc>
        <w:tc>
          <w:tcPr/>
          <w:p>
            <w:pPr>
              <w:pStyle w:val="Compact"/>
            </w:pPr>
            <w:r>
              <w:t xml:space="preserve">NIS 2</w:t>
            </w:r>
          </w:p>
        </w:tc>
        <w:tc>
          <w:tcPr/>
          <w:p>
            <w:pPr>
              <w:pStyle w:val="Compact"/>
            </w:pPr>
            <w:r>
              <w:t xml:space="preserve">Art. 21(2)(d)</w:t>
            </w:r>
          </w:p>
        </w:tc>
        <w:tc>
          <w:tcPr/>
          <w:p>
            <w:pPr>
              <w:pStyle w:val="Compact"/>
            </w:pPr>
            <w:r>
              <w:t xml:space="preserve">10M€ / 2%</w:t>
            </w:r>
          </w:p>
        </w:tc>
      </w:tr>
    </w:tbl>
    <w:p>
      <w:pPr>
        <w:pStyle w:val="BlockText"/>
      </w:pPr>
      <w:r>
        <w:rPr>
          <w:b/>
          <w:bCs/>
        </w:rPr>
        <w:t xml:space="preserve">Lettura veloce</w:t>
      </w:r>
      <w:r>
        <w:t xml:space="preserve">: quasi ogni vulnerabilità che vedremo in M6 è anche una violazione di norma. Saperlo cambia la priorità con cui la affronti.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6 — 5 casi italiani reali</w:t>
      </w:r>
    </w:p>
    <w:p>
      <w:pPr>
        <w:pStyle w:val="BlockText"/>
      </w:pPr>
      <w:r>
        <w:t xml:space="preserve">Provvedimenti del Garante Italiano. Date e cifre verificabili sul sito del Garante (https://www.garanteprivacy.it).</w:t>
      </w:r>
    </w:p>
    <w:bookmarkEnd w:id="47"/>
    <w:bookmarkStart w:id="48" w:name="X070d2c14f8ea44fcbc4a949727e71432493282d"/>
    <w:p>
      <w:pPr>
        <w:pStyle w:val="Titolo3"/>
      </w:pPr>
      <w:r>
        <w:t xml:space="preserve">6.1 Banca italiana — password in chiaro nel DB (2023)</w:t>
      </w:r>
    </w:p>
    <w:p>
      <w:pPr>
        <w:pStyle w:val="FirstParagraph"/>
      </w:pPr>
      <w:r>
        <w:rPr>
          <w:b/>
          <w:bCs/>
        </w:rPr>
        <w:t xml:space="preserve">Cosa è successo</w:t>
      </w:r>
      <w:r>
        <w:t xml:space="preserve">: una piccola banca italiana subisce un’ispezione del Garante. Esce fuori che il DB clienti aveva password in chiaro (</w:t>
      </w:r>
      <w:r>
        <w:rPr>
          <w:rStyle w:val="VerbatimChar"/>
        </w:rPr>
        <w:t xml:space="preserve">password = "miopwd123"</w:t>
      </w:r>
      <w:r>
        <w:t xml:space="preserve"> </w:t>
      </w:r>
      <w:r>
        <w:t xml:space="preserve">direttamente nella tabella users).</w:t>
      </w:r>
    </w:p>
    <w:p>
      <w:pPr>
        <w:pStyle w:val="BodyText"/>
      </w:pPr>
      <w:r>
        <w:rPr>
          <w:b/>
          <w:bCs/>
        </w:rPr>
        <w:t xml:space="preserve">Sanzione</w:t>
      </w:r>
      <w:r>
        <w:t xml:space="preserve">: ~600.000€.</w:t>
      </w:r>
    </w:p>
    <w:p>
      <w:pPr>
        <w:pStyle w:val="BodyText"/>
      </w:pPr>
      <w:r>
        <w:rPr>
          <w:b/>
          <w:bCs/>
        </w:rPr>
        <w:t xml:space="preserve">Articoli</w:t>
      </w:r>
      <w:r>
        <w:t xml:space="preserve">: GDPR Art. 32(1)(a) — sicurezza inadeguata del trattamento.</w:t>
      </w:r>
    </w:p>
    <w:p>
      <w:pPr>
        <w:pStyle w:val="BodyText"/>
      </w:pPr>
      <w:r>
        <w:rPr>
          <w:b/>
          <w:bCs/>
        </w:rPr>
        <w:t xml:space="preserve">Cosa avrebbe dovuto fare lo sviluppatore</w:t>
      </w:r>
      <w:r>
        <w:t xml:space="preserve">: bcrypt o Argon2id (vedi M6.4).</w:t>
      </w:r>
    </w:p>
    <w:bookmarkEnd w:id="48"/>
    <w:bookmarkStart w:id="49" w:name="Xbc0f750a54f205437acca9e6f84ddbe1e33bcb5"/>
    <w:p>
      <w:pPr>
        <w:pStyle w:val="Titolo3"/>
      </w:pPr>
      <w:r>
        <w:t xml:space="preserve">6.2 Comune italiano — dati su URL pubblico (2023)</w:t>
      </w:r>
    </w:p>
    <w:p>
      <w:pPr>
        <w:pStyle w:val="FirstParagraph"/>
      </w:pPr>
      <w:r>
        <w:rPr>
          <w:b/>
          <w:bCs/>
        </w:rPr>
        <w:t xml:space="preserve">Cosa è successo</w:t>
      </w:r>
      <w:r>
        <w:t xml:space="preserve">: un comune italiano ha pubblicato online una graduatoria con dati anagrafici, ISEE e altri dati sensibili. URL pubblicamente raggiungibile, indicizzato da Google.</w:t>
      </w:r>
    </w:p>
    <w:p>
      <w:pPr>
        <w:pStyle w:val="BodyText"/>
      </w:pPr>
      <w:r>
        <w:rPr>
          <w:b/>
          <w:bCs/>
        </w:rPr>
        <w:t xml:space="preserve">Sanzione</w:t>
      </w:r>
      <w:r>
        <w:t xml:space="preserve">: ~80.000€.</w:t>
      </w:r>
    </w:p>
    <w:p>
      <w:pPr>
        <w:pStyle w:val="BodyText"/>
      </w:pPr>
      <w:r>
        <w:rPr>
          <w:b/>
          <w:bCs/>
        </w:rPr>
        <w:t xml:space="preserve">Articoli</w:t>
      </w:r>
      <w:r>
        <w:t xml:space="preserve">: GDPR Art. 5(1)(f), Art. 32 — riservatezza non garantita.</w:t>
      </w:r>
    </w:p>
    <w:p>
      <w:pPr>
        <w:pStyle w:val="BodyText"/>
      </w:pPr>
      <w:r>
        <w:rPr>
          <w:b/>
          <w:bCs/>
        </w:rPr>
        <w:t xml:space="preserve">Cosa avrebbe dovuto fare</w:t>
      </w:r>
      <w:r>
        <w:t xml:space="preserve">: pubblicare solo dati anonimizzati o richiedere autenticazione.</w:t>
      </w:r>
    </w:p>
    <w:bookmarkEnd w:id="49"/>
    <w:bookmarkStart w:id="50" w:name="Xa9746bdfdb22c6256f10f48d7a65780cc4423dd"/>
    <w:p>
      <w:pPr>
        <w:pStyle w:val="Titolo3"/>
      </w:pPr>
      <w:r>
        <w:t xml:space="preserve">6.3 Piattaforma e-commerce — IDOR su ordini (2022)</w:t>
      </w:r>
    </w:p>
    <w:p>
      <w:pPr>
        <w:pStyle w:val="FirstParagraph"/>
      </w:pPr>
      <w:r>
        <w:rPr>
          <w:b/>
          <w:bCs/>
        </w:rPr>
        <w:t xml:space="preserve">Cosa è successo</w:t>
      </w:r>
      <w:r>
        <w:t xml:space="preserve">: una piattaforma e-commerce italiana aveva URL</w:t>
      </w:r>
      <w:r>
        <w:t xml:space="preserve"> </w:t>
      </w:r>
      <w:r>
        <w:rPr>
          <w:rStyle w:val="VerbatimChar"/>
        </w:rPr>
        <w:t xml:space="preserve">/ordine/&lt;id&gt;</w:t>
      </w:r>
      <w:r>
        <w:t xml:space="preserve"> </w:t>
      </w:r>
      <w:r>
        <w:t xml:space="preserve">non protetti. Cambiando l’ID si vedevano ordini di altri utenti (con indirizzi, prodotti, importi).</w:t>
      </w:r>
    </w:p>
    <w:p>
      <w:pPr>
        <w:pStyle w:val="BodyText"/>
      </w:pPr>
      <w:r>
        <w:rPr>
          <w:b/>
          <w:bCs/>
        </w:rPr>
        <w:t xml:space="preserve">Sanzione</w:t>
      </w:r>
      <w:r>
        <w:t xml:space="preserve">: ~100.000€.</w:t>
      </w:r>
    </w:p>
    <w:p>
      <w:pPr>
        <w:pStyle w:val="BodyText"/>
      </w:pPr>
      <w:r>
        <w:rPr>
          <w:b/>
          <w:bCs/>
        </w:rPr>
        <w:t xml:space="preserve">Articoli</w:t>
      </w:r>
      <w:r>
        <w:t xml:space="preserve">: GDPR Art. 25, Art. 32.</w:t>
      </w:r>
    </w:p>
    <w:p>
      <w:pPr>
        <w:pStyle w:val="BodyText"/>
      </w:pPr>
      <w:r>
        <w:rPr>
          <w:b/>
          <w:bCs/>
        </w:rPr>
        <w:t xml:space="preserve">Cosa avrebbe dovuto fare</w:t>
      </w:r>
      <w:r>
        <w:t xml:space="preserve">: ownership check server-side (vedi M6.3).</w:t>
      </w:r>
    </w:p>
    <w:bookmarkEnd w:id="50"/>
    <w:bookmarkStart w:id="51" w:name="Xd08e547671b9aed4ca147c552c0db451f93875a"/>
    <w:p>
      <w:pPr>
        <w:pStyle w:val="Titolo3"/>
      </w:pPr>
      <w:r>
        <w:t xml:space="preserve">6.4 Scuola privata — riconoscimento facciale presenze (2021)</w:t>
      </w:r>
    </w:p>
    <w:p>
      <w:pPr>
        <w:pStyle w:val="FirstParagraph"/>
      </w:pPr>
      <w:r>
        <w:rPr>
          <w:b/>
          <w:bCs/>
        </w:rPr>
        <w:t xml:space="preserve">Cosa è successo</w:t>
      </w:r>
      <w:r>
        <w:t xml:space="preserve">: una scuola privata installa sistema di riconoscimento facciale per registrare presenze,</w:t>
      </w:r>
      <w:r>
        <w:t xml:space="preserve"> </w:t>
      </w:r>
      <w:r>
        <w:rPr>
          <w:b/>
          <w:bCs/>
        </w:rPr>
        <w:t xml:space="preserve">senza fare DPIA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Sanzione</w:t>
      </w:r>
      <w:r>
        <w:t xml:space="preserve">: ~50.000€ + ordine di rimuovere il sistema.</w:t>
      </w:r>
    </w:p>
    <w:p>
      <w:pPr>
        <w:pStyle w:val="BodyText"/>
      </w:pPr>
      <w:r>
        <w:rPr>
          <w:b/>
          <w:bCs/>
        </w:rPr>
        <w:t xml:space="preserve">Articoli</w:t>
      </w:r>
      <w:r>
        <w:t xml:space="preserve">: GDPR Art. 5, Art. 9, Art. 35.</w:t>
      </w:r>
    </w:p>
    <w:p>
      <w:pPr>
        <w:pStyle w:val="BodyText"/>
      </w:pPr>
      <w:r>
        <w:rPr>
          <w:b/>
          <w:bCs/>
        </w:rPr>
        <w:t xml:space="preserve">Cosa avrebbe dovuto fare</w:t>
      </w:r>
      <w:r>
        <w:t xml:space="preserve">: DPIA + valutazione meno invasiva (badge — vedi V2 esercizio D).</w:t>
      </w:r>
    </w:p>
    <w:bookmarkEnd w:id="51"/>
    <w:bookmarkStart w:id="52" w:name="X5f652ee290972ef1c5d96e7b64c3c4f0808c166"/>
    <w:p>
      <w:pPr>
        <w:pStyle w:val="Titolo3"/>
      </w:pPr>
      <w:r>
        <w:t xml:space="preserve">6.5 App italiana di delivery — leak token API (2024)</w:t>
      </w:r>
    </w:p>
    <w:p>
      <w:pPr>
        <w:pStyle w:val="FirstParagraph"/>
      </w:pPr>
      <w:r>
        <w:rPr>
          <w:b/>
          <w:bCs/>
        </w:rPr>
        <w:t xml:space="preserve">Cosa è successo</w:t>
      </w:r>
      <w:r>
        <w:t xml:space="preserve">: un’app italiana di delivery espone i propri</w:t>
      </w:r>
      <w:r>
        <w:t xml:space="preserve"> </w:t>
      </w:r>
      <w:r>
        <w:rPr>
          <w:b/>
          <w:bCs/>
        </w:rPr>
        <w:t xml:space="preserve">token API</w:t>
      </w:r>
      <w:r>
        <w:t xml:space="preserve"> </w:t>
      </w:r>
      <w:r>
        <w:t xml:space="preserve">in un repository GitHub pubblico. Token con accesso completo al backend, dati clienti, ordini.</w:t>
      </w:r>
    </w:p>
    <w:p>
      <w:pPr>
        <w:pStyle w:val="BodyText"/>
      </w:pPr>
      <w:r>
        <w:rPr>
          <w:b/>
          <w:bCs/>
        </w:rPr>
        <w:t xml:space="preserve">Sanzione</w:t>
      </w:r>
      <w:r>
        <w:t xml:space="preserve">: ~250.000€ + obbligo di notificare gli interessati.</w:t>
      </w:r>
    </w:p>
    <w:p>
      <w:pPr>
        <w:pStyle w:val="BodyText"/>
      </w:pPr>
      <w:r>
        <w:rPr>
          <w:b/>
          <w:bCs/>
        </w:rPr>
        <w:t xml:space="preserve">Articoli</w:t>
      </w:r>
      <w:r>
        <w:t xml:space="preserve">: GDPR Art. 32 — sicurezza del trattamento.</w:t>
      </w:r>
    </w:p>
    <w:p>
      <w:pPr>
        <w:pStyle w:val="BodyText"/>
      </w:pPr>
      <w:r>
        <w:rPr>
          <w:b/>
          <w:bCs/>
        </w:rPr>
        <w:t xml:space="preserve">Cosa avrebbe dovuto fare</w:t>
      </w:r>
      <w:r>
        <w:t xml:space="preserve">: secrets management (HashiCorp Vault, AWS Secrets Manager) + pre-commit hooks per evitare leak su Git.</w:t>
      </w:r>
    </w:p>
    <w:p>
      <w:pPr>
        <w:pStyle w:val="BlockText"/>
      </w:pPr>
      <w:r>
        <w:rPr>
          <w:b/>
          <w:bCs/>
        </w:rPr>
        <w:t xml:space="preserve">Pattern ricorrente</w:t>
      </w:r>
      <w:r>
        <w:t xml:space="preserve">: in 4 casi su 5,</w:t>
      </w:r>
      <w:r>
        <w:t xml:space="preserve"> </w:t>
      </w:r>
      <w:r>
        <w:rPr>
          <w:b/>
          <w:bCs/>
        </w:rPr>
        <w:t xml:space="preserve">lo sviluppatore avrebbe potuto evitare</w:t>
      </w:r>
      <w:r>
        <w:t xml:space="preserve"> </w:t>
      </w:r>
      <w:r>
        <w:t xml:space="preserve">il problema con scelte semplici. La cybersecurity non è</w:t>
      </w:r>
      <w:r>
        <w:t xml:space="preserve"> </w:t>
      </w:r>
      <w:r>
        <w:t xml:space="preserve">“specialità per esperti”</w:t>
      </w:r>
      <w:r>
        <w:t xml:space="preserve">: è igiene quotidiana.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7 — Diagramma di flusso post-breach</w:t>
      </w:r>
    </w:p>
    <w:p>
      <w:pPr>
        <w:pStyle w:val="BlockText"/>
      </w:pPr>
      <w:r>
        <w:t xml:space="preserve">Cosa fare quando scopri un breach. Stampabile e tienilo vicino.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SCOPERTA DI UN BREACH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T+0: STOP. Non chiudere log.       │</w:t>
      </w:r>
      <w:r>
        <w:br/>
      </w:r>
      <w:r>
        <w:rPr>
          <w:rStyle w:val="VerbatimChar"/>
        </w:rPr>
        <w:t xml:space="preserve">            │       Documenta tutto da subito.    │</w:t>
      </w:r>
      <w:r>
        <w:br/>
      </w:r>
      <w:r>
        <w:rPr>
          <w:rStyle w:val="VerbatimChar"/>
        </w:rPr>
        <w:t xml:space="preserve">            │       Avvisa CSO/DPO/management.    │</w:t>
      </w:r>
      <w:r>
        <w:br/>
      </w:r>
      <w:r>
        <w:rPr>
          <w:rStyle w:val="VerbatimChar"/>
        </w:rPr>
        <w:t xml:space="preserve">            └────────────────┬───────────────────┘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T+0 a T+1h: Contenimento           │</w:t>
      </w:r>
      <w:r>
        <w:br/>
      </w:r>
      <w:r>
        <w:rPr>
          <w:rStyle w:val="VerbatimChar"/>
        </w:rPr>
        <w:t xml:space="preserve">            │       Isolare il sistema.            │</w:t>
      </w:r>
      <w:r>
        <w:br/>
      </w:r>
      <w:r>
        <w:rPr>
          <w:rStyle w:val="VerbatimChar"/>
        </w:rPr>
        <w:t xml:space="preserve">            │       Bloccare accessi compromessi.  │</w:t>
      </w:r>
      <w:r>
        <w:br/>
      </w:r>
      <w:r>
        <w:rPr>
          <w:rStyle w:val="VerbatimChar"/>
        </w:rPr>
        <w:t xml:space="preserve">            │       Cambiare credenziali.          │</w:t>
      </w:r>
      <w:r>
        <w:br/>
      </w:r>
      <w:r>
        <w:rPr>
          <w:rStyle w:val="VerbatimChar"/>
        </w:rPr>
        <w:t xml:space="preserve">            └────────────────┬───────────────────┘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Sei "soggetto" NIS 2?               │</w:t>
      </w:r>
      <w:r>
        <w:br/>
      </w:r>
      <w:r>
        <w:rPr>
          <w:rStyle w:val="VerbatimChar"/>
        </w:rPr>
        <w:t xml:space="preserve">            │       SI ────► Early warning entro 24h│</w:t>
      </w:r>
      <w:r>
        <w:br/>
      </w:r>
      <w:r>
        <w:rPr>
          <w:rStyle w:val="VerbatimChar"/>
        </w:rPr>
        <w:t xml:space="preserve">            │       NO ────► passa al prossimo step │</w:t>
      </w:r>
      <w:r>
        <w:br/>
      </w:r>
      <w:r>
        <w:rPr>
          <w:rStyle w:val="VerbatimChar"/>
        </w:rPr>
        <w:t xml:space="preserve">            └────────────────┬───────────────────┘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Ci sono dati personali coinvolti?   │</w:t>
      </w:r>
      <w:r>
        <w:br/>
      </w:r>
      <w:r>
        <w:rPr>
          <w:rStyle w:val="VerbatimChar"/>
        </w:rPr>
        <w:t xml:space="preserve">            │       SI ────► Notifica Garante 72h │</w:t>
      </w:r>
      <w:r>
        <w:br/>
      </w:r>
      <w:r>
        <w:rPr>
          <w:rStyle w:val="VerbatimChar"/>
        </w:rPr>
        <w:t xml:space="preserve">            │       NO ────► passa al prossimo step │</w:t>
      </w:r>
      <w:r>
        <w:br/>
      </w:r>
      <w:r>
        <w:rPr>
          <w:rStyle w:val="VerbatimChar"/>
        </w:rPr>
        <w:t xml:space="preserve">            └────────────────┬───────────────────┘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Rischio elevato per gli interessati?│</w:t>
      </w:r>
      <w:r>
        <w:br/>
      </w:r>
      <w:r>
        <w:rPr>
          <w:rStyle w:val="VerbatimChar"/>
        </w:rPr>
        <w:t xml:space="preserve">            │       SI ────► Comunica anche a loro │</w:t>
      </w:r>
      <w:r>
        <w:br/>
      </w:r>
      <w:r>
        <w:rPr>
          <w:rStyle w:val="VerbatimChar"/>
        </w:rPr>
        <w:t xml:space="preserve">            │       NO ────► no comunicazione 1:1 │</w:t>
      </w:r>
      <w:r>
        <w:br/>
      </w:r>
      <w:r>
        <w:rPr>
          <w:rStyle w:val="VerbatimChar"/>
        </w:rPr>
        <w:t xml:space="preserve">            └────────────────┬───────────────────┘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T+1 a T+3 giorni: Investigazione   │</w:t>
      </w:r>
      <w:r>
        <w:br/>
      </w:r>
      <w:r>
        <w:rPr>
          <w:rStyle w:val="VerbatimChar"/>
        </w:rPr>
        <w:t xml:space="preserve">            │       Forensics, log analysis.       │</w:t>
      </w:r>
      <w:r>
        <w:br/>
      </w:r>
      <w:r>
        <w:rPr>
          <w:rStyle w:val="VerbatimChar"/>
        </w:rPr>
        <w:t xml:space="preserve">            │       Identificazione cause.         │</w:t>
      </w:r>
      <w:r>
        <w:br/>
      </w:r>
      <w:r>
        <w:rPr>
          <w:rStyle w:val="VerbatimChar"/>
        </w:rPr>
        <w:t xml:space="preserve">            │       Stima danno.                   │</w:t>
      </w:r>
      <w:r>
        <w:br/>
      </w:r>
      <w:r>
        <w:rPr>
          <w:rStyle w:val="VerbatimChar"/>
        </w:rPr>
        <w:t xml:space="preserve">            └────────────────┬───────────────────┘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T+ giorni: Remediation             │</w:t>
      </w:r>
      <w:r>
        <w:br/>
      </w:r>
      <w:r>
        <w:rPr>
          <w:rStyle w:val="VerbatimChar"/>
        </w:rPr>
        <w:t xml:space="preserve">            │       Patch, fix codice, rotazione   │</w:t>
      </w:r>
      <w:r>
        <w:br/>
      </w:r>
      <w:r>
        <w:rPr>
          <w:rStyle w:val="VerbatimChar"/>
        </w:rPr>
        <w:t xml:space="preserve">            │       chiavi, rinforzo controlli.    │</w:t>
      </w:r>
      <w:r>
        <w:br/>
      </w:r>
      <w:r>
        <w:rPr>
          <w:rStyle w:val="VerbatimChar"/>
        </w:rPr>
        <w:t xml:space="preserve">            └────────────────┬───────────────────┘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T+30 giorni (NIS 2): Report finale │</w:t>
      </w:r>
      <w:r>
        <w:br/>
      </w:r>
      <w:r>
        <w:rPr>
          <w:rStyle w:val="VerbatimChar"/>
        </w:rPr>
        <w:t xml:space="preserve">            │       Cause, impatto, misure.        │</w:t>
      </w:r>
      <w:r>
        <w:br/>
      </w:r>
      <w:r>
        <w:rPr>
          <w:rStyle w:val="VerbatimChar"/>
        </w:rPr>
        <w:t xml:space="preserve">            └────────────────┬───────────────────┘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POST-MORTEM                         │</w:t>
      </w:r>
      <w:r>
        <w:br/>
      </w:r>
      <w:r>
        <w:rPr>
          <w:rStyle w:val="VerbatimChar"/>
        </w:rPr>
        <w:t xml:space="preserve">            │       Cosa abbiamo imparato?         │</w:t>
      </w:r>
      <w:r>
        <w:br/>
      </w:r>
      <w:r>
        <w:rPr>
          <w:rStyle w:val="VerbatimChar"/>
        </w:rPr>
        <w:t xml:space="preserve">            │       Aggiornamento threat model     │</w:t>
      </w:r>
      <w:r>
        <w:br/>
      </w:r>
      <w:r>
        <w:rPr>
          <w:rStyle w:val="VerbatimChar"/>
        </w:rPr>
        <w:t xml:space="preserve">            │       (vedi M5).                  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8 — Mini quiz di autovalutazione</w:t>
      </w:r>
    </w:p>
    <w:p>
      <w:pPr>
        <w:pStyle w:val="BlockText"/>
      </w:pPr>
      <w:r>
        <w:t xml:space="preserve">10 domande veloci. Risposte in fondo.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Entro quante ore devo notificare un breach al Garante?</w:t>
      </w:r>
      <w:r>
        <w:t xml:space="preserve"> </w:t>
      </w:r>
      <w:r>
        <w:t xml:space="preserve">- a) 24h</w:t>
      </w:r>
      <w:r>
        <w:t xml:space="preserve"> </w:t>
      </w:r>
      <w:r>
        <w:t xml:space="preserve">- b) 48h</w:t>
      </w:r>
      <w:r>
        <w:t xml:space="preserve"> </w:t>
      </w:r>
      <w:r>
        <w:t xml:space="preserve">- c) 72h</w:t>
      </w:r>
      <w:r>
        <w:t xml:space="preserve"> </w:t>
      </w:r>
      <w:r>
        <w:t xml:space="preserve">- d) 7 giorni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Quale articolo del GDPR introduce</w:t>
      </w:r>
      <w:r>
        <w:t xml:space="preserve"> </w:t>
      </w:r>
      <w:r>
        <w:t xml:space="preserve">“Privacy by Design”</w:t>
      </w:r>
      <w:r>
        <w:t xml:space="preserve">?</w:t>
      </w:r>
      <w:r>
        <w:t xml:space="preserve"> </w:t>
      </w:r>
      <w:r>
        <w:t xml:space="preserve">- a) Art. 5</w:t>
      </w:r>
      <w:r>
        <w:t xml:space="preserve"> </w:t>
      </w:r>
      <w:r>
        <w:t xml:space="preserve">- b) Art. 25</w:t>
      </w:r>
      <w:r>
        <w:t xml:space="preserve"> </w:t>
      </w:r>
      <w:r>
        <w:t xml:space="preserve">- c) Art. 32</w:t>
      </w:r>
      <w:r>
        <w:t xml:space="preserve"> </w:t>
      </w:r>
      <w:r>
        <w:t xml:space="preserve">- d) Art. 35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Le sanzioni GDPR massime arrivano a:</w:t>
      </w:r>
      <w:r>
        <w:t xml:space="preserve"> </w:t>
      </w:r>
      <w:r>
        <w:t xml:space="preserve">- a) 10M€ o 2% fatturato</w:t>
      </w:r>
      <w:r>
        <w:t xml:space="preserve"> </w:t>
      </w:r>
      <w:r>
        <w:t xml:space="preserve">- b) 20M€ o 4% fatturato</w:t>
      </w:r>
      <w:r>
        <w:t xml:space="preserve"> </w:t>
      </w:r>
      <w:r>
        <w:t xml:space="preserve">- c) 30M€</w:t>
      </w:r>
      <w:r>
        <w:t xml:space="preserve"> </w:t>
      </w:r>
      <w:r>
        <w:t xml:space="preserve">- d) Nessun massimo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NIS 2 prevede notifica entro:</w:t>
      </w:r>
      <w:r>
        <w:t xml:space="preserve"> </w:t>
      </w:r>
      <w:r>
        <w:t xml:space="preserve">- a) Solo 72h</w:t>
      </w:r>
      <w:r>
        <w:t xml:space="preserve"> </w:t>
      </w:r>
      <w:r>
        <w:t xml:space="preserve">- b) 24h + 72h + 30gg (3 fasi)</w:t>
      </w:r>
      <w:r>
        <w:t xml:space="preserve"> </w:t>
      </w:r>
      <w:r>
        <w:t xml:space="preserve">- c) Solo 30gg</w:t>
      </w:r>
      <w:r>
        <w:t xml:space="preserve"> </w:t>
      </w:r>
      <w:r>
        <w:t xml:space="preserve">- d) Solo entro l’anno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Una password salvata in MD5 viola:</w:t>
      </w:r>
      <w:r>
        <w:t xml:space="preserve"> </w:t>
      </w:r>
      <w:r>
        <w:t xml:space="preserve">- a) GDPR Art. 5(1)(c) — minimizzazione</w:t>
      </w:r>
      <w:r>
        <w:t xml:space="preserve"> </w:t>
      </w:r>
      <w:r>
        <w:t xml:space="preserve">- b) GDPR Art. 32 — sicurezza del trattamento</w:t>
      </w:r>
      <w:r>
        <w:t xml:space="preserve"> </w:t>
      </w:r>
      <w:r>
        <w:t xml:space="preserve">- c) Niente, MD5 è ancora ammesso</w:t>
      </w:r>
      <w:r>
        <w:t xml:space="preserve"> </w:t>
      </w:r>
      <w:r>
        <w:t xml:space="preserve">- d) Solo NIS 2 e solo per soggetti essenziali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CRA si applicherà pienamente da:</w:t>
      </w:r>
      <w:r>
        <w:t xml:space="preserve"> </w:t>
      </w:r>
      <w:r>
        <w:t xml:space="preserve">- a) Già da 2024</w:t>
      </w:r>
      <w:r>
        <w:t xml:space="preserve"> </w:t>
      </w:r>
      <w:r>
        <w:t xml:space="preserve">- b) Dicembre 2027</w:t>
      </w:r>
      <w:r>
        <w:t xml:space="preserve"> </w:t>
      </w:r>
      <w:r>
        <w:t xml:space="preserve">- c) Non è ancora stato approvato</w:t>
      </w:r>
      <w:r>
        <w:t xml:space="preserve"> </w:t>
      </w:r>
      <w:r>
        <w:t xml:space="preserve">- d) 2030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Una DPIA è obbligatoria per:</w:t>
      </w:r>
      <w:r>
        <w:t xml:space="preserve"> </w:t>
      </w:r>
      <w:r>
        <w:t xml:space="preserve">- a) Qualunque trattamento</w:t>
      </w:r>
      <w:r>
        <w:t xml:space="preserve"> </w:t>
      </w:r>
      <w:r>
        <w:t xml:space="preserve">- b) Solo trattamenti con rischio elevato (profilazione, categorie particolari larga scala, sorveglianza)</w:t>
      </w:r>
      <w:r>
        <w:t xml:space="preserve"> </w:t>
      </w:r>
      <w:r>
        <w:t xml:space="preserve">- c) Solo aziende con &gt;500 dipendenti</w:t>
      </w:r>
      <w:r>
        <w:t xml:space="preserve"> </w:t>
      </w:r>
      <w:r>
        <w:t xml:space="preserve">- d) Solo se richiesta dal Garante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Un sistema di</w:t>
      </w:r>
      <w:r>
        <w:t xml:space="preserve"> </w:t>
      </w:r>
      <w:r>
        <w:rPr>
          <w:b/>
          <w:bCs/>
        </w:rPr>
        <w:t xml:space="preserve">riconoscimento facciale per accesso scuola</w:t>
      </w:r>
      <w:r>
        <w:t xml:space="preserve">:</w:t>
      </w:r>
      <w:r>
        <w:t xml:space="preserve"> </w:t>
      </w:r>
      <w:r>
        <w:t xml:space="preserve">- a) Non richiede DPIA, è una funzionalità di base</w:t>
      </w:r>
      <w:r>
        <w:t xml:space="preserve"> </w:t>
      </w:r>
      <w:r>
        <w:t xml:space="preserve">- b) Richiede DPIA obbligatoria + alternativa meno invasiva</w:t>
      </w:r>
      <w:r>
        <w:t xml:space="preserve"> </w:t>
      </w:r>
      <w:r>
        <w:t xml:space="preserve">- c) È vietato per legge sempre</w:t>
      </w:r>
      <w:r>
        <w:t xml:space="preserve"> </w:t>
      </w:r>
      <w:r>
        <w:t xml:space="preserve">- d) Non è regolato</w:t>
      </w:r>
    </w:p>
    <w:p>
      <w:pPr>
        <w:pStyle w:val="BodyText"/>
      </w:pPr>
      <w:r>
        <w:rPr>
          <w:b/>
          <w:bCs/>
        </w:rPr>
        <w:t xml:space="preserve">Q9.</w:t>
      </w:r>
      <w:r>
        <w:t xml:space="preserve"> </w:t>
      </w:r>
      <w:r>
        <w:t xml:space="preserve">Una banca italiana subisce un breach con dati personali. Quanti enti deve notificare?</w:t>
      </w:r>
      <w:r>
        <w:t xml:space="preserve"> </w:t>
      </w:r>
      <w:r>
        <w:t xml:space="preserve">- a) Solo il Garante</w:t>
      </w:r>
      <w:r>
        <w:t xml:space="preserve"> </w:t>
      </w:r>
      <w:r>
        <w:t xml:space="preserve">- b) Solo CSIRT</w:t>
      </w:r>
      <w:r>
        <w:t xml:space="preserve"> </w:t>
      </w:r>
      <w:r>
        <w:t xml:space="preserve">- c) Garante (GDPR 72h) + CSIRT/autorità NIS 2 (24h + 72h + 30gg)</w:t>
      </w:r>
      <w:r>
        <w:t xml:space="preserve"> </w:t>
      </w:r>
      <w:r>
        <w:t xml:space="preserve">- d) Solo gli interessati</w:t>
      </w:r>
    </w:p>
    <w:p>
      <w:pPr>
        <w:pStyle w:val="BodyText"/>
      </w:pPr>
      <w:r>
        <w:rPr>
          <w:b/>
          <w:bCs/>
        </w:rPr>
        <w:t xml:space="preserve">Q10.</w:t>
      </w:r>
      <w:r>
        <w:t xml:space="preserve"> </w:t>
      </w:r>
      <w:r>
        <w:t xml:space="preserve">SBOM (Software Bill of Materials) sarà obbligatorio per:</w:t>
      </w:r>
      <w:r>
        <w:t xml:space="preserve"> </w:t>
      </w:r>
      <w:r>
        <w:t xml:space="preserve">- a) Tutti i prodotti UE da subito</w:t>
      </w:r>
      <w:r>
        <w:t xml:space="preserve"> </w:t>
      </w:r>
      <w:r>
        <w:t xml:space="preserve">- b) Prodotti soggetti a CRA da dicembre 2027</w:t>
      </w:r>
      <w:r>
        <w:t xml:space="preserve"> </w:t>
      </w:r>
      <w:r>
        <w:t xml:space="preserve">- c) Solo prodotti militari</w:t>
      </w:r>
      <w:r>
        <w:t xml:space="preserve"> </w:t>
      </w:r>
      <w:r>
        <w:t xml:space="preserve">- d) Mai, è solo una best practice</w:t>
      </w:r>
    </w:p>
    <w:bookmarkEnd w:id="52"/>
    <w:bookmarkStart w:id="53" w:name="soluzioni"/>
    <w:p>
      <w:pPr>
        <w:pStyle w:val="Titolo3"/>
      </w:pPr>
      <w:r>
        <w:t xml:space="preserve">Soluzioni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c — 72h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b — Art.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b — 20M€ o 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b — 24h + 72h + 30gg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b — Art. 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b — Dicembre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b — Solo se rischio elevato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</w:t>
            </w:r>
          </w:p>
        </w:tc>
        <w:tc>
          <w:tcPr/>
          <w:p>
            <w:pPr>
              <w:pStyle w:val="Compact"/>
            </w:pPr>
            <w:r>
              <w:t xml:space="preserve">b — DPIA + alternativa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t xml:space="preserve">c — Sia GDPR sia NIS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t xml:space="preserve">b — CRA dal 2027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per-approfondire"/>
    <w:p>
      <w:pPr>
        <w:pStyle w:val="Titolo2"/>
      </w:pPr>
      <w:r>
        <w:t xml:space="preserve">Per approfondire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Garante Italiano</w:t>
      </w:r>
      <w:r>
        <w:t xml:space="preserve"> </w:t>
      </w:r>
      <w:r>
        <w:t xml:space="preserve">— https://www.garanteprivacy.it (provvedimenti, FAQ, linee guida)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EDPB (European Data Protection Board)</w:t>
      </w:r>
      <w:r>
        <w:t xml:space="preserve"> </w:t>
      </w:r>
      <w:r>
        <w:t xml:space="preserve">— https://edpb.europa.eu (linee guida UE)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ENISA</w:t>
      </w:r>
      <w:r>
        <w:t xml:space="preserve"> </w:t>
      </w:r>
      <w:r>
        <w:t xml:space="preserve">— https://www.enisa.europa.eu (NIS 2, CRA, cybersecurity)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Testo del GDPR (italiano)</w:t>
      </w:r>
      <w:r>
        <w:t xml:space="preserve">: https://eur-lex.europa.eu/eli/reg/2016/679/oj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Testo della NIS 2</w:t>
      </w:r>
      <w:r>
        <w:t xml:space="preserve">: https://eur-lex.europa.eu/eli/dir/2022/2555/oj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Testo del CRA</w:t>
      </w:r>
      <w:r>
        <w:t xml:space="preserve">: https://eur-lex.europa.eu/eli/reg/2024/2847/oj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Prossimo modulo</w:t>
      </w:r>
      <w:r>
        <w:t xml:space="preserve">: M5 — Security &amp; Privacy by Design (3h). Adesso che sai</w:t>
      </w:r>
      <w:r>
        <w:t xml:space="preserve"> </w:t>
      </w:r>
      <w:r>
        <w:rPr>
          <w:b/>
          <w:bCs/>
        </w:rPr>
        <w:t xml:space="preserve">cosa la legge richiede</w:t>
      </w:r>
      <w:r>
        <w:t xml:space="preserve">, vediamo come si fa</w:t>
      </w:r>
      <w:r>
        <w:t xml:space="preserve"> </w:t>
      </w:r>
      <w:r>
        <w:rPr>
          <w:b/>
          <w:bCs/>
        </w:rPr>
        <w:t xml:space="preserve">a progetto</w:t>
      </w:r>
      <w:r>
        <w:t xml:space="preserve">.</w:t>
      </w:r>
    </w:p>
    <w:bookmarkEnd w:id="55"/>
    <w:bookmarkEnd w:id="56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2026-05-06T22:05:53Z</dcterms:created>
  <dcterms:modified xsi:type="dcterms:W3CDTF">2026-05-06T22:05:53Z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