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2" w:name="verifica-v1-soluzioni"/>
    <w:p>
      <w:pPr>
        <w:pStyle w:val="Titolo1"/>
      </w:pPr>
      <w:r>
        <w:t xml:space="preserve">Verifica V1 — SOLUZIONI</w:t>
      </w:r>
    </w:p>
    <w:p>
      <w:pPr>
        <w:pStyle w:val="FirstParagraph"/>
      </w:pPr>
      <w:r>
        <w:rPr>
          <w:b/>
          <w:bCs/>
        </w:rPr>
        <w:t xml:space="preserve">Punteggio totale:</w:t>
      </w:r>
      <w:r>
        <w:t xml:space="preserve"> </w:t>
      </w:r>
      <w:r>
        <w:t xml:space="preserve">100</w:t>
      </w:r>
      <w:r>
        <w:t xml:space="preserve"> </w:t>
      </w:r>
      <w:r>
        <w:rPr>
          <w:b/>
          <w:bCs/>
        </w:rPr>
        <w:t xml:space="preserve">Soglia di sufficienza:</w:t>
      </w:r>
      <w:r>
        <w:t xml:space="preserve"> </w:t>
      </w:r>
      <w:r>
        <w:t xml:space="preserve">60</w:t>
      </w:r>
    </w:p>
    <w:p>
      <w:r>
        <w:pict>
          <v:rect style="width:0;height:1.5pt" o:hralign="center" o:hrstd="t" o:hr="t"/>
        </w:pict>
      </w:r>
    </w:p>
    <w:bookmarkStart w:id="18" w:name="sezione-a-scelta-multipla-20-1-20"/>
    <w:p>
      <w:pPr>
        <w:pStyle w:val="Titolo2"/>
      </w:pPr>
      <w:r>
        <w:t xml:space="preserve">Sezione A — Scelta multipla (20 × 1 = 20)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4168"/>
        <w:gridCol w:w="25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Risposta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Confidentiality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Authenticity è un’estensione, NON nella CIA classica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DDoS = Availability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Least Privilege violato (root = privilegi massimi)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Default deny in caso di errore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7 livelli (TCP/IP è il modello a 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Livello 4 — Transport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MAC = livello 2 (data link)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ARP = Address Resolution Protocol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SYN, SYN-ACK, 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DNS usa UDP (TCP solo per zone transfer e risposte grandi)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MITM in rete locale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443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“FETCH”</w:t>
            </w:r>
            <w:r>
              <w:t xml:space="preserve"> </w:t>
            </w:r>
            <w:r>
              <w:t xml:space="preserve">non è un metodo HTTP 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403 = autenticato ma non autorizzato (vs 401 = non autenticato)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HSTS forza HTTPS dopo prima visita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HttpOnly = JS non può leggere il cookie (anti-XSS)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401 Unauthorized =</w:t>
            </w:r>
            <w:r>
              <w:t xml:space="preserve"> </w:t>
            </w:r>
            <w:r>
              <w:t xml:space="preserve">“non autenticato”</w:t>
            </w:r>
            <w:r>
              <w:t xml:space="preserve"> </w:t>
            </w:r>
            <w:r>
              <w:t xml:space="preserve">(nome storico fuorviante)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Header che identifica il browser/client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Reato (Art. 617-quater c.p.)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24" w:name="sezione-b-risposta-breve-5-4-20"/>
    <w:p>
      <w:pPr>
        <w:pStyle w:val="Titolo2"/>
      </w:pPr>
      <w:r>
        <w:t xml:space="preserve">Sezione B — Risposta breve (5 × 4 = 20)</w:t>
      </w:r>
    </w:p>
    <w:bookmarkStart w:id="19" w:name="X58bd73e94377e13149f16667042fca0a3760584"/>
    <w:p>
      <w:pPr>
        <w:pStyle w:val="Titolo3"/>
      </w:pPr>
      <w:r>
        <w:t xml:space="preserve">B1. Sicurezza informatica vs sicurezza del software</w:t>
      </w:r>
    </w:p>
    <w:p>
      <w:pPr>
        <w:pStyle w:val="FirstParagraph"/>
      </w:pPr>
      <w:r>
        <w:rPr>
          <w:b/>
          <w:bCs/>
        </w:rPr>
        <w:t xml:space="preserve">Sicurezza informatica</w:t>
      </w:r>
      <w:r>
        <w:t xml:space="preserve"> </w:t>
      </w:r>
      <w:r>
        <w:t xml:space="preserve">(perimetrale, infrastrutturale): protegge la rete, i server, i sistemi operativi. L’attaccante</w:t>
      </w:r>
      <w:r>
        <w:t xml:space="preserve"> </w:t>
      </w:r>
      <w:r>
        <w:t xml:space="preserve">“entra dalla rete”</w:t>
      </w:r>
      <w:r>
        <w:t xml:space="preserve">. Esempio: un firewall che blocca SSH dall’esterno, un sistemista che applica patch al kernel, MFA su VPN.</w:t>
      </w:r>
    </w:p>
    <w:p>
      <w:pPr>
        <w:pStyle w:val="BodyText"/>
      </w:pPr>
      <w:r>
        <w:rPr>
          <w:b/>
          <w:bCs/>
        </w:rPr>
        <w:t xml:space="preserve">Sicurezza del software</w:t>
      </w:r>
      <w:r>
        <w:t xml:space="preserve"> </w:t>
      </w:r>
      <w:r>
        <w:t xml:space="preserve">(codice, applicazioni): protegge dall’interno della logica applicativa. L’attaccante manda richieste legittime con dati malevoli. Esempio: query SQL parametrizzata che impedisce SQL injection nel form di login.</w:t>
      </w:r>
    </w:p>
    <w:p>
      <w:pPr>
        <w:pStyle w:val="BlockText"/>
      </w:pPr>
      <w:r>
        <w:t xml:space="preserve">Punteggio: 2 punti per ogni esempio corretto e ben spiegato. Mezzo punto bonus se collega</w:t>
      </w:r>
      <w:r>
        <w:t xml:space="preserve"> </w:t>
      </w:r>
      <w:r>
        <w:t xml:space="preserve">“il firewall non protegge da SQLi”</w:t>
      </w:r>
      <w:r>
        <w:t xml:space="preserve">.</w:t>
      </w:r>
    </w:p>
    <w:bookmarkEnd w:id="19"/>
    <w:bookmarkStart w:id="20" w:name="b2.-tcp-vs-udp-3-differenze"/>
    <w:p>
      <w:pPr>
        <w:pStyle w:val="Titolo3"/>
      </w:pPr>
      <w:r>
        <w:t xml:space="preserve">B2. TCP vs UDP — 3 differenze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80"/>
        <w:gridCol w:w="1200"/>
        <w:gridCol w:w="120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Differenza</w:t>
            </w:r>
          </w:p>
        </w:tc>
        <w:tc>
          <w:tcPr/>
          <w:p>
            <w:pPr>
              <w:pStyle w:val="Compact"/>
            </w:pPr>
            <w:r>
              <w:t xml:space="preserve">TCP</w:t>
            </w:r>
          </w:p>
        </w:tc>
        <w:tc>
          <w:tcPr/>
          <w:p>
            <w:pPr>
              <w:pStyle w:val="Compact"/>
            </w:pPr>
            <w:r>
              <w:t xml:space="preserve">UDP</w:t>
            </w:r>
          </w:p>
        </w:tc>
        <w:tc>
          <w:tcPr/>
          <w:p>
            <w:pPr>
              <w:pStyle w:val="Compact"/>
            </w:pPr>
            <w:r>
              <w:t xml:space="preserve">Caso d’uso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Connessione</w:t>
            </w:r>
          </w:p>
        </w:tc>
        <w:tc>
          <w:tcPr/>
          <w:p>
            <w:pPr>
              <w:pStyle w:val="Compact"/>
            </w:pPr>
            <w:r>
              <w:t xml:space="preserve">con handshake</w:t>
            </w:r>
          </w:p>
        </w:tc>
        <w:tc>
          <w:tcPr/>
          <w:p>
            <w:pPr>
              <w:pStyle w:val="Compact"/>
            </w:pPr>
            <w:r>
              <w:t xml:space="preserve">senza</w:t>
            </w:r>
          </w:p>
        </w:tc>
        <w:tc>
          <w:tcPr/>
          <w:p>
            <w:pPr>
              <w:pStyle w:val="Compact"/>
            </w:pPr>
            <w:r>
              <w:t xml:space="preserve">TCP per HTTP/SSH/FTP, UDP per DNS/VoIP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Affidabilità</w:t>
            </w:r>
          </w:p>
        </w:tc>
        <w:tc>
          <w:tcPr/>
          <w:p>
            <w:pPr>
              <w:pStyle w:val="Compact"/>
            </w:pPr>
            <w:r>
              <w:t xml:space="preserve">sì (rispedisce pacchetti persi)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TCP per email/file, UDP per streaming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Ordine</w:t>
            </w:r>
          </w:p>
        </w:tc>
        <w:tc>
          <w:tcPr/>
          <w:p>
            <w:pPr>
              <w:pStyle w:val="Compact"/>
            </w:pPr>
            <w:r>
              <w:t xml:space="preserve">sì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TCP per dati strutturati, UDP per gioco online</w:t>
            </w:r>
          </w:p>
        </w:tc>
      </w:tr>
    </w:tbl>
    <w:p>
      <w:pPr>
        <w:pStyle w:val="BlockText"/>
      </w:pPr>
      <w:r>
        <w:t xml:space="preserve">1 punto per ogni differenza corretta + 1 punto per casi d’uso pertinenti.</w:t>
      </w:r>
    </w:p>
    <w:bookmarkEnd w:id="20"/>
    <w:bookmarkStart w:id="21" w:name="b3.-arp-spoofing"/>
    <w:p>
      <w:pPr>
        <w:pStyle w:val="Titolo3"/>
      </w:pPr>
      <w:r>
        <w:t xml:space="preserve">B3. ARP spoofing</w:t>
      </w:r>
    </w:p>
    <w:p>
      <w:pPr>
        <w:pStyle w:val="FirstParagraph"/>
      </w:pPr>
      <w:r>
        <w:rPr>
          <w:b/>
          <w:bCs/>
        </w:rPr>
        <w:t xml:space="preserve">Cos’è</w:t>
      </w:r>
      <w:r>
        <w:t xml:space="preserve">: l’attaccante manda risposte ARP non richieste sostenendo</w:t>
      </w:r>
      <w:r>
        <w:t xml:space="preserve"> </w:t>
      </w:r>
      <w:r>
        <w:t xml:space="preserve">“l’IP X è il mio MAC”</w:t>
      </w:r>
      <w:r>
        <w:t xml:space="preserve">, ingannando la vittima nella stessa rete locale. La vittima aggiorna la sua cache ARP e indirizza il traffico verso l’attaccante invece che al gateway/server vero.</w:t>
      </w:r>
    </w:p>
    <w:p>
      <w:pPr>
        <w:pStyle w:val="BodyText"/>
      </w:pPr>
      <w:r>
        <w:rPr>
          <w:b/>
          <w:bCs/>
        </w:rPr>
        <w:t xml:space="preserve">Livello OSI</w:t>
      </w:r>
      <w:r>
        <w:t xml:space="preserve">: livello 2 (Data Link).</w:t>
      </w:r>
    </w:p>
    <w:p>
      <w:pPr>
        <w:pStyle w:val="BodyText"/>
      </w:pPr>
      <w:r>
        <w:rPr>
          <w:b/>
          <w:bCs/>
        </w:rPr>
        <w:t xml:space="preserve">Difese</w:t>
      </w:r>
      <w:r>
        <w:t xml:space="preserve">: ARP statici per host critici, Dynamic ARP Inspection (DAI) sugli switch enterprise, monitoring della cache ARP,</w:t>
      </w:r>
      <w:r>
        <w:t xml:space="preserve"> </w:t>
      </w:r>
      <w:r>
        <w:rPr>
          <w:b/>
          <w:bCs/>
        </w:rPr>
        <w:t xml:space="preserve">HTTPS ovunque</w:t>
      </w:r>
      <w:r>
        <w:t xml:space="preserve"> </w:t>
      </w:r>
      <w:r>
        <w:t xml:space="preserve">(anche con MITM, l’attaccante vede solo dati cifrati).</w:t>
      </w:r>
    </w:p>
    <w:p>
      <w:pPr>
        <w:pStyle w:val="BlockText"/>
      </w:pPr>
      <w:r>
        <w:t xml:space="preserve">1.5 punti definizione + 0.5 livello + 2 difese.</w:t>
      </w:r>
    </w:p>
    <w:bookmarkEnd w:id="21"/>
    <w:bookmarkStart w:id="22" w:name="b4.-cookie-attributes"/>
    <w:p>
      <w:pPr>
        <w:pStyle w:val="Titolo3"/>
      </w:pPr>
      <w:r>
        <w:t xml:space="preserve">B4. Cookie attributes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Secure</w:t>
      </w:r>
      <w:r>
        <w:t xml:space="preserve">: il browser invia il cookie</w:t>
      </w:r>
      <w:r>
        <w:t xml:space="preserve"> </w:t>
      </w:r>
      <w:r>
        <w:rPr>
          <w:b/>
          <w:bCs/>
        </w:rPr>
        <w:t xml:space="preserve">solo su HTTPS</w:t>
      </w:r>
      <w:r>
        <w:t xml:space="preserve">. Senza, il cookie può viaggiare in chiaro su HTTP e essere sniffato.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HttpOnly</w:t>
      </w:r>
      <w:r>
        <w:t xml:space="preserve">: il cookie</w:t>
      </w:r>
      <w:r>
        <w:t xml:space="preserve"> </w:t>
      </w:r>
      <w:r>
        <w:rPr>
          <w:b/>
          <w:bCs/>
        </w:rPr>
        <w:t xml:space="preserve">non è leggibile da JavaScript</w:t>
      </w:r>
      <w:r>
        <w:t xml:space="preserve"> </w:t>
      </w:r>
      <w:r>
        <w:t xml:space="preserve">(</w:t>
      </w:r>
      <w:r>
        <w:rPr>
          <w:rStyle w:val="VerbatimChar"/>
        </w:rPr>
        <w:t xml:space="preserve">document.cookie</w:t>
      </w:r>
      <w:r>
        <w:t xml:space="preserve">). Difesa contro XSS che vogliono rubare il session token.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SameSite</w:t>
      </w:r>
      <w:r>
        <w:t xml:space="preserve">: controlla quando il browser invia il cookie in richieste cross-site. Valori:</w:t>
      </w:r>
      <w:r>
        <w:t xml:space="preserve"> </w:t>
      </w:r>
      <w:r>
        <w:rPr>
          <w:rStyle w:val="VerbatimChar"/>
        </w:rPr>
        <w:t xml:space="preserve">Strict</w:t>
      </w:r>
      <w:r>
        <w:t xml:space="preserve"> </w:t>
      </w:r>
      <w:r>
        <w:t xml:space="preserve">(mai cross-site),</w:t>
      </w:r>
      <w:r>
        <w:t xml:space="preserve"> </w:t>
      </w:r>
      <w:r>
        <w:rPr>
          <w:rStyle w:val="VerbatimChar"/>
        </w:rPr>
        <w:t xml:space="preserve">Lax</w:t>
      </w:r>
      <w:r>
        <w:t xml:space="preserve"> </w:t>
      </w:r>
      <w:r>
        <w:t xml:space="preserve">(default moderno: solo navigazione top-level),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(sempre,</w:t>
      </w:r>
      <w:r>
        <w:t xml:space="preserve"> </w:t>
      </w:r>
      <w:r>
        <w:rPr>
          <w:b/>
          <w:bCs/>
        </w:rPr>
        <w:t xml:space="preserve">richiede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Secure</w:t>
      </w:r>
      <w:r>
        <w:t xml:space="preserve">). Difesa contro CSRF.</w:t>
      </w:r>
    </w:p>
    <w:p>
      <w:pPr>
        <w:pStyle w:val="BlockText"/>
      </w:pPr>
      <w:r>
        <w:t xml:space="preserve">1.3 punti per ognuno (rounding to 4).</w:t>
      </w:r>
    </w:p>
    <w:bookmarkEnd w:id="22"/>
    <w:bookmarkStart w:id="23" w:name="b5.-tre-dei-5-principi-del-secure-coding"/>
    <w:p>
      <w:pPr>
        <w:pStyle w:val="Titolo3"/>
      </w:pPr>
      <w:r>
        <w:t xml:space="preserve">B5. Tre dei 5 principi del Secure Coding</w:t>
      </w:r>
    </w:p>
    <w:p>
      <w:pPr>
        <w:pStyle w:val="FirstParagraph"/>
      </w:pPr>
      <w:r>
        <w:t xml:space="preserve">(Ne basta citare 3 — ognuno con 1 esempio + 1 violazione.)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Least Privilege</w:t>
      </w:r>
      <w:r>
        <w:t xml:space="preserve">: ✅ user DB con permessi solo SELECT/INSERT su tabelle proprie. ❌ webapp che gira come root.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Defense in Depth</w:t>
      </w:r>
      <w:r>
        <w:t xml:space="preserve">: ✅ HTTPS + bcrypt + MFA + monitoring. ❌</w:t>
      </w:r>
      <w:r>
        <w:t xml:space="preserve"> </w:t>
      </w:r>
      <w:r>
        <w:t xml:space="preserve">“Abbiamo HTTPS, basta così”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Fail Secure</w:t>
      </w:r>
      <w:r>
        <w:t xml:space="preserve">: ✅ se auth check lancia eccezione → 503. ❌ try/except che ritorna risorsa</w:t>
      </w:r>
      <w:r>
        <w:t xml:space="preserve"> </w:t>
      </w:r>
      <w:r>
        <w:t xml:space="preserve">“per non bloccare”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KISS</w:t>
      </w:r>
      <w:r>
        <w:t xml:space="preserve">: ✅ libreria di logging che fa solo logging. ❌ Log4Shell — feature JNDI non necessaria.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Separation of Duties</w:t>
      </w:r>
      <w:r>
        <w:t xml:space="preserve">: ✅ chi scrive codice ≠ chi fa deploy. ❌ stesso DB user per dev/staging/prod.</w:t>
      </w:r>
    </w:p>
    <w:p>
      <w:pPr>
        <w:pStyle w:val="BlockText"/>
      </w:pPr>
      <w:r>
        <w:t xml:space="preserve">1.3 punti per ogni principio con esempio + violazione.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sezione-c-esercizi-5-10-50"/>
    <w:p>
      <w:pPr>
        <w:pStyle w:val="Titolo2"/>
      </w:pPr>
      <w:r>
        <w:t xml:space="preserve">Sezione C — Esercizi (5 × 10 = 50)</w:t>
      </w:r>
    </w:p>
    <w:bookmarkStart w:id="25" w:name="c1.-livelli-osi-10-pt"/>
    <w:p>
      <w:pPr>
        <w:pStyle w:val="Titolo3"/>
      </w:pPr>
      <w:r>
        <w:t xml:space="preserve">C1. Livelli OSI (10 pt)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3394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Termine</w:t>
            </w:r>
          </w:p>
        </w:tc>
        <w:tc>
          <w:tcPr/>
          <w:p>
            <w:pPr>
              <w:pStyle w:val="Compact"/>
            </w:pPr>
            <w:r>
              <w:t xml:space="preserve">Livello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Frame Ethernet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  <w:r>
              <w:t xml:space="preserve"> </w:t>
            </w:r>
            <w:r>
              <w:t xml:space="preserve">(Data Link)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Pacchetto IP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  <w:r>
              <w:t xml:space="preserve"> </w:t>
            </w:r>
            <w:r>
              <w:t xml:space="preserve">(Network)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Segmento TCP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  <w:r>
              <w:t xml:space="preserve"> </w:t>
            </w:r>
            <w:r>
              <w:t xml:space="preserve">(Transport)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Cookie HTTP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</w:t>
            </w:r>
            <w:r>
              <w:t xml:space="preserve"> </w:t>
            </w:r>
            <w:r>
              <w:t xml:space="preserve">(Application)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Cifratura TLS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</w:t>
            </w:r>
            <w:r>
              <w:t xml:space="preserve"> </w:t>
            </w:r>
            <w:r>
              <w:t xml:space="preserve">(Presentation) (o 5/6 — accettabile entrambi)</w:t>
            </w:r>
          </w:p>
        </w:tc>
      </w:tr>
    </w:tbl>
    <w:bookmarkEnd w:id="25"/>
    <w:bookmarkStart w:id="26" w:name="c2.-three-way-handshake-10-pt"/>
    <w:p>
      <w:pPr>
        <w:pStyle w:val="Titolo3"/>
      </w:pPr>
      <w:r>
        <w:t xml:space="preserve">C2. Three-way handshake (10 pt)</w:t>
      </w:r>
    </w:p>
    <w:p>
      <w:pPr>
        <w:pStyle w:val="SourceCode"/>
      </w:pPr>
      <w:r>
        <w:rPr>
          <w:rStyle w:val="VerbatimChar"/>
        </w:rPr>
        <w:t xml:space="preserve">Client                                   Server</w:t>
      </w:r>
      <w:r>
        <w:br/>
      </w:r>
      <w:r>
        <w:rPr>
          <w:rStyle w:val="VerbatimChar"/>
        </w:rPr>
        <w:t xml:space="preserve">  |                                         |</w:t>
      </w:r>
      <w:r>
        <w:br/>
      </w:r>
      <w:r>
        <w:rPr>
          <w:rStyle w:val="VerbatimChar"/>
        </w:rPr>
        <w:t xml:space="preserve">  | ───── SYN (seq=X, flag SYN=1) ────►     |   (Client: voglio connettermi)</w:t>
      </w:r>
      <w:r>
        <w:br/>
      </w:r>
      <w:r>
        <w:rPr>
          <w:rStyle w:val="VerbatimChar"/>
        </w:rPr>
        <w:t xml:space="preserve">  |                                         |</w:t>
      </w:r>
      <w:r>
        <w:br/>
      </w:r>
      <w:r>
        <w:rPr>
          <w:rStyle w:val="VerbatimChar"/>
        </w:rPr>
        <w:t xml:space="preserve">  |     ◄── SYN-ACK (seq=Y, ack=X+1, ──────┤   (Server: ok, ti rispondo)</w:t>
      </w:r>
      <w:r>
        <w:br/>
      </w:r>
      <w:r>
        <w:rPr>
          <w:rStyle w:val="VerbatimChar"/>
        </w:rPr>
        <w:t xml:space="preserve">  |          flag SYN=1, ACK=1)             |</w:t>
      </w:r>
      <w:r>
        <w:br/>
      </w:r>
      <w:r>
        <w:rPr>
          <w:rStyle w:val="VerbatimChar"/>
        </w:rPr>
        <w:t xml:space="preserve">  |                                         |</w:t>
      </w:r>
      <w:r>
        <w:br/>
      </w:r>
      <w:r>
        <w:rPr>
          <w:rStyle w:val="VerbatimChar"/>
        </w:rPr>
        <w:t xml:space="preserve">  | ───── ACK (ack=Y+1, flag ACK=1) ───►    |   (Client: ricevuto, partiamo)</w:t>
      </w:r>
      <w:r>
        <w:br/>
      </w:r>
      <w:r>
        <w:rPr>
          <w:rStyle w:val="VerbatimChar"/>
        </w:rPr>
        <w:t xml:space="preserve">  |                                         |</w:t>
      </w:r>
      <w:r>
        <w:br/>
      </w:r>
      <w:r>
        <w:rPr>
          <w:rStyle w:val="VerbatimChar"/>
        </w:rPr>
        <w:t xml:space="preserve">  |  ═════ Connessione stabilita ══════     |</w:t>
      </w:r>
    </w:p>
    <w:p>
      <w:pPr>
        <w:pStyle w:val="BlockText"/>
      </w:pPr>
      <w:r>
        <w:t xml:space="preserve">Punteggio: 3 pt direzione + 4 pt flag corretti + 3 pt sequenza.</w:t>
      </w:r>
    </w:p>
    <w:bookmarkEnd w:id="26"/>
    <w:bookmarkStart w:id="27" w:name="c3.-header-di-sicurezza-mancanti-10-pt"/>
    <w:p>
      <w:pPr>
        <w:pStyle w:val="Titolo3"/>
      </w:pPr>
      <w:r>
        <w:t xml:space="preserve">C3. Header di sicurezza mancanti (10 pt)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93"/>
        <w:gridCol w:w="54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Header mancante</w:t>
            </w:r>
          </w:p>
        </w:tc>
        <w:tc>
          <w:tcPr/>
          <w:p>
            <w:pPr>
              <w:pStyle w:val="Compact"/>
            </w:pPr>
            <w:r>
              <w:t xml:space="preserve">A cosa serve / Perché manca è grave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</w:t>
            </w:r>
            <w:r>
              <w:t xml:space="preserve"> </w:t>
            </w:r>
            <w:r>
              <w:rPr>
                <w:rStyle w:val="VerbatimChar"/>
              </w:rPr>
              <w:t xml:space="preserve">Strict-Transport-Security</w:t>
            </w:r>
            <w:r>
              <w:t xml:space="preserve"> </w:t>
            </w:r>
            <w:r>
              <w:t xml:space="preserve">(HSTS)</w:t>
            </w:r>
          </w:p>
        </w:tc>
        <w:tc>
          <w:tcPr/>
          <w:p>
            <w:pPr>
              <w:pStyle w:val="Compact"/>
            </w:pPr>
            <w:r>
              <w:t xml:space="preserve">Forza HTTPS. Senza, possibile downgrade attack a HTTP.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</w:t>
            </w:r>
            <w:r>
              <w:t xml:space="preserve"> </w:t>
            </w:r>
            <w:r>
              <w:rPr>
                <w:rStyle w:val="VerbatimChar"/>
              </w:rPr>
              <w:t xml:space="preserve">Content-Security-Policy</w:t>
            </w:r>
            <w:r>
              <w:t xml:space="preserve"> </w:t>
            </w:r>
            <w:r>
              <w:t xml:space="preserve">(CSP)</w:t>
            </w:r>
          </w:p>
        </w:tc>
        <w:tc>
          <w:tcPr/>
          <w:p>
            <w:pPr>
              <w:pStyle w:val="Compact"/>
            </w:pPr>
            <w:r>
              <w:t xml:space="preserve">Limita risorse caricabili. Senza, XSS più facile.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</w:t>
            </w:r>
            <w:r>
              <w:t xml:space="preserve"> </w:t>
            </w:r>
            <w:r>
              <w:rPr>
                <w:rStyle w:val="VerbatimChar"/>
              </w:rPr>
              <w:t xml:space="preserve">X-Frame-Options</w:t>
            </w:r>
          </w:p>
        </w:tc>
        <w:tc>
          <w:tcPr/>
          <w:p>
            <w:pPr>
              <w:pStyle w:val="Compact"/>
            </w:pPr>
            <w:r>
              <w:t xml:space="preserve">Blocca framing della pagina. Senza, vulnerabile a clickjacking.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</w:t>
            </w:r>
            <w:r>
              <w:t xml:space="preserve"> </w:t>
            </w:r>
            <w:r>
              <w:rPr>
                <w:rStyle w:val="VerbatimChar"/>
              </w:rPr>
              <w:t xml:space="preserve">X-Content-Type-Options: nosniff</w:t>
            </w:r>
          </w:p>
        </w:tc>
        <w:tc>
          <w:tcPr/>
          <w:p>
            <w:pPr>
              <w:pStyle w:val="Compact"/>
            </w:pPr>
            <w:r>
              <w:t xml:space="preserve">Blocca MIME sniffing. Senza, possibile esecuzione di file impropriamente serviti.</w:t>
            </w:r>
          </w:p>
        </w:tc>
      </w:tr>
    </w:tbl>
    <w:p>
      <w:pPr>
        <w:pStyle w:val="BodyText"/>
      </w:pPr>
      <w:r>
        <w:t xml:space="preserve">(Accettabili anche</w:t>
      </w:r>
      <w:r>
        <w:t xml:space="preserve"> </w:t>
      </w:r>
      <w:r>
        <w:rPr>
          <w:rStyle w:val="VerbatimChar"/>
        </w:rPr>
        <w:t xml:space="preserve">Referrer-Policy</w:t>
      </w:r>
      <w:r>
        <w:t xml:space="preserve">,</w:t>
      </w:r>
      <w:r>
        <w:t xml:space="preserve"> </w:t>
      </w:r>
      <w:r>
        <w:rPr>
          <w:rStyle w:val="VerbatimChar"/>
        </w:rPr>
        <w:t xml:space="preserve">Permissions-Policy</w:t>
      </w:r>
      <w:r>
        <w:t xml:space="preserve">.)</w:t>
      </w:r>
    </w:p>
    <w:p>
      <w:pPr>
        <w:pStyle w:val="BodyText"/>
      </w:pPr>
      <w:r>
        <w:rPr>
          <w:b/>
          <w:bCs/>
        </w:rPr>
        <w:t xml:space="preserve">Cookie mancanze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Secure</w:t>
      </w:r>
      <w:r>
        <w:t xml:space="preserve"> </w:t>
      </w:r>
      <w:r>
        <w:t xml:space="preserve">(deve viaggiare solo su HTTPS).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HttpOnly</w:t>
      </w:r>
      <w:r>
        <w:t xml:space="preserve"> </w:t>
      </w:r>
      <w:r>
        <w:t xml:space="preserve">(non leggibile da JS).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SameSite=Lax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Strict</w:t>
      </w:r>
      <w:r>
        <w:t xml:space="preserve"> </w:t>
      </w:r>
      <w:r>
        <w:t xml:space="preserve">(anti-CSRF).</w:t>
      </w:r>
    </w:p>
    <w:p>
      <w:pPr>
        <w:pStyle w:val="BlockText"/>
      </w:pPr>
      <w:r>
        <w:t xml:space="preserve">2 pt per header (max 4) + 2 pt cookie.</w:t>
      </w:r>
    </w:p>
    <w:bookmarkEnd w:id="27"/>
    <w:bookmarkStart w:id="28" w:name="c4.-equifax-2017-10-pt"/>
    <w:p>
      <w:pPr>
        <w:pStyle w:val="Titolo3"/>
      </w:pPr>
      <w:r>
        <w:t xml:space="preserve">C4. Equifax 2017 (10 pt)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Confidentiality</w:t>
      </w:r>
      <w:r>
        <w:t xml:space="preserve"> </w:t>
      </w:r>
      <w:r>
        <w:t xml:space="preserve">(esfiltrazione dati personali).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Web Application Attacks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Vulnerable/Outdated Components</w:t>
      </w:r>
      <w:r>
        <w:t xml:space="preserve"> </w:t>
      </w:r>
      <w:r>
        <w:t xml:space="preserve">(entrambi accettabili).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Defense in Depth</w:t>
      </w:r>
      <w:r>
        <w:t xml:space="preserve"> </w:t>
      </w:r>
      <w:r>
        <w:t xml:space="preserve">(mancava layer dietro Struts) o</w:t>
      </w:r>
      <w:r>
        <w:t xml:space="preserve"> </w:t>
      </w:r>
      <w:r>
        <w:rPr>
          <w:b/>
          <w:bCs/>
        </w:rPr>
        <w:t xml:space="preserve">Least Privilege</w:t>
      </w:r>
      <w:r>
        <w:t xml:space="preserve"> </w:t>
      </w:r>
      <w:r>
        <w:t xml:space="preserve">(network segmentation insufficiente). Entrambi accettabili.</w:t>
      </w:r>
    </w:p>
    <w:p>
      <w:pPr>
        <w:pStyle w:val="Compact"/>
        <w:numPr>
          <w:ilvl w:val="0"/>
          <w:numId w:val="1003"/>
        </w:numPr>
      </w:pPr>
      <w:r>
        <w:t xml:space="preserve">Esempi accettabili:</w:t>
      </w:r>
    </w:p>
    <w:p>
      <w:pPr>
        <w:pStyle w:val="Compact"/>
        <w:numPr>
          <w:ilvl w:val="1"/>
          <w:numId w:val="1004"/>
        </w:numPr>
      </w:pPr>
      <w:r>
        <w:t xml:space="preserve">Patching SLA per CVE critiche (es. ≤7 giorni per CVSS ≥9).</w:t>
      </w:r>
    </w:p>
    <w:p>
      <w:pPr>
        <w:pStyle w:val="Compact"/>
        <w:numPr>
          <w:ilvl w:val="1"/>
          <w:numId w:val="1004"/>
        </w:numPr>
      </w:pPr>
      <w:r>
        <w:t xml:space="preserve">SBOM e dependency scanning automatico.</w:t>
      </w:r>
    </w:p>
    <w:p>
      <w:pPr>
        <w:pStyle w:val="Compact"/>
        <w:numPr>
          <w:ilvl w:val="1"/>
          <w:numId w:val="1004"/>
        </w:numPr>
      </w:pPr>
      <w:r>
        <w:t xml:space="preserve">Network segmentation tra front-end e DB.</w:t>
      </w:r>
    </w:p>
    <w:p>
      <w:pPr>
        <w:pStyle w:val="Compact"/>
        <w:numPr>
          <w:ilvl w:val="1"/>
          <w:numId w:val="1004"/>
        </w:numPr>
      </w:pPr>
      <w:r>
        <w:t xml:space="preserve">Monitoring di esfiltrazione dati.</w:t>
      </w:r>
    </w:p>
    <w:bookmarkEnd w:id="28"/>
    <w:bookmarkStart w:id="29" w:name="c5.-scenario-di-rete-10-pt"/>
    <w:p>
      <w:pPr>
        <w:pStyle w:val="Titolo3"/>
      </w:pPr>
      <w:r>
        <w:t xml:space="preserve">C5. Scenario di rete (10 pt)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GET</w:t>
      </w:r>
      <w:r>
        <w:t xml:space="preserve"> </w:t>
      </w:r>
      <w:r>
        <w:t xml:space="preserve">(2 pt).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IDOR — Insecure Direct Object Reference</w:t>
      </w:r>
      <w:r>
        <w:t xml:space="preserve">: cambiando l’id si accede al profilo di un altro utente senza controllo di autorizzazione (2 pt).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SSN</w:t>
      </w:r>
      <w:r>
        <w:t xml:space="preserve"> </w:t>
      </w:r>
      <w:r>
        <w:t xml:space="preserve">(Social Security Number) — dato personale</w:t>
      </w:r>
      <w:r>
        <w:t xml:space="preserve"> </w:t>
      </w:r>
      <w:r>
        <w:rPr>
          <w:b/>
          <w:bCs/>
        </w:rPr>
        <w:t xml:space="preserve">sensibile</w:t>
      </w:r>
      <w:r>
        <w:t xml:space="preserve">: non dovrebbe MAI essere restituito in un endpoint di profilo. Anche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può esserlo a seconda del contesto. Idealmente solo dati strettamente necessari (data minimization) (2 pt).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No, mancano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Secure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HttpOnly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SameSite</w:t>
      </w:r>
      <w:r>
        <w:t xml:space="preserve">. Senza</w:t>
      </w:r>
      <w:r>
        <w:t xml:space="preserve"> </w:t>
      </w:r>
      <w:r>
        <w:rPr>
          <w:rStyle w:val="VerbatimChar"/>
        </w:rPr>
        <w:t xml:space="preserve">Secure</w:t>
      </w:r>
      <w:r>
        <w:t xml:space="preserve"> </w:t>
      </w:r>
      <w:r>
        <w:t xml:space="preserve">il cookie può viaggiare su HTTP. Senza</w:t>
      </w:r>
      <w:r>
        <w:t xml:space="preserve"> </w:t>
      </w:r>
      <w:r>
        <w:rPr>
          <w:rStyle w:val="VerbatimChar"/>
        </w:rPr>
        <w:t xml:space="preserve">HttpOnly</w:t>
      </w:r>
      <w:r>
        <w:t xml:space="preserve"> </w:t>
      </w:r>
      <w:r>
        <w:t xml:space="preserve">JS può leggerlo (XSS). Senza</w:t>
      </w:r>
      <w:r>
        <w:t xml:space="preserve"> </w:t>
      </w:r>
      <w:r>
        <w:rPr>
          <w:rStyle w:val="VerbatimChar"/>
        </w:rPr>
        <w:t xml:space="preserve">SameSite</w:t>
      </w:r>
      <w:r>
        <w:t xml:space="preserve"> </w:t>
      </w:r>
      <w:r>
        <w:t xml:space="preserve">vulnerabile a CSRF (2 pt).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Tutto in chiaro</w:t>
      </w:r>
      <w:r>
        <w:t xml:space="preserve">: URL completo, headers (incluso il cookie), body con username/email/SSN/saldo. Sniffing banale su HTTP plain (2 pt).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griglia-di-valutazione"/>
    <w:p>
      <w:pPr>
        <w:pStyle w:val="Titolo2"/>
      </w:pPr>
      <w:r>
        <w:t xml:space="preserve">Griglia di valutazione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Voto</w:t>
            </w:r>
          </w:p>
        </w:tc>
        <w:tc>
          <w:tcPr/>
          <w:p>
            <w:pPr>
              <w:pStyle w:val="Compact"/>
            </w:pPr>
            <w:r>
              <w:t xml:space="preserve">Range punti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Eccellente</w:t>
            </w:r>
          </w:p>
        </w:tc>
        <w:tc>
          <w:tcPr/>
          <w:p>
            <w:pPr>
              <w:pStyle w:val="Compact"/>
            </w:pPr>
            <w:r>
              <w:t xml:space="preserve">90-100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Buono</w:t>
            </w:r>
          </w:p>
        </w:tc>
        <w:tc>
          <w:tcPr/>
          <w:p>
            <w:pPr>
              <w:pStyle w:val="Compact"/>
            </w:pPr>
            <w:r>
              <w:t xml:space="preserve">75-89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Sufficiente</w:t>
            </w:r>
          </w:p>
        </w:tc>
        <w:tc>
          <w:tcPr/>
          <w:p>
            <w:pPr>
              <w:pStyle w:val="Compact"/>
            </w:pPr>
            <w:r>
              <w:t xml:space="preserve">60-74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Insufficiente</w:t>
            </w:r>
          </w:p>
        </w:tc>
        <w:tc>
          <w:tcPr/>
          <w:p>
            <w:pPr>
              <w:pStyle w:val="Compact"/>
            </w:pPr>
            <w:r>
              <w:t xml:space="preserve">&lt; 60 (recupero richiesto)</w:t>
            </w:r>
          </w:p>
        </w:tc>
      </w:tr>
    </w:tbl>
    <w:bookmarkEnd w:id="31"/>
    <w:bookmarkEnd w:id="32"/>
    <w:sectPr w:rsidR="009A4322">
      <w:headerReference r:id="rId8" w:type="default"/>
      <w:footerReference r:id="rId9" w:type="default"/>
      <w:pgSz w:h="16838" w:w="11906"/>
      <w:pgMar w:bottom="900" w:footer="708" w:gutter="0" w:header="708" w:left="1050" w:right="1050" w:top="90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BM Plex Sans">
    <w:charset w:val="00"/>
    <w:family w:val="swiss"/>
    <w:pitch w:val="variable"/>
    <w:sig w:usb0="A00002EF" w:usb1="5000207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F2735" w14:textId="77777777" w:rsidR="009A4322" w:rsidRDefault="00000000">
    <w:pPr>
      <w:pBdr>
        <w:top w:val="single" w:sz="2" w:space="0" w:color="C5D0E6"/>
      </w:pBdr>
      <w:spacing w:before="130"/>
      <w:jc w:val="right"/>
    </w:pPr>
    <w:r>
      <w:rPr>
        <w:color w:val="64748B"/>
        <w:sz w:val="16"/>
        <w:szCs w:val="16"/>
      </w:rPr>
      <w:t xml:space="preserve">Materiale riservato — uso didattico  |  Pag. </w:t>
    </w:r>
    <w:r>
      <w:rPr>
        <w:color w:val="64748B"/>
        <w:sz w:val="16"/>
        <w:szCs w:val="16"/>
      </w:rPr>
      <w:fldChar w:fldCharType="begin"/>
    </w:r>
    <w:r>
      <w:rPr>
        <w:color w:val="64748B"/>
        <w:sz w:val="16"/>
        <w:szCs w:val="16"/>
      </w:rPr>
      <w:instrText>PAGE</w:instrText>
    </w:r>
    <w:r>
      <w:rPr>
        <w:color w:val="64748B"/>
        <w:sz w:val="16"/>
        <w:szCs w:val="16"/>
      </w:rPr>
      <w:fldChar w:fldCharType="separate"/>
    </w:r>
    <w:r w:rsidR="0008722E">
      <w:rPr>
        <w:noProof/>
        <w:color w:val="64748B"/>
        <w:sz w:val="16"/>
        <w:szCs w:val="16"/>
      </w:rPr>
      <w:t>1</w:t>
    </w:r>
    <w:r>
      <w:rPr>
        <w:color w:val="64748B"/>
        <w:sz w:val="16"/>
        <w:szCs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3A3E4" w14:textId="77777777" w:rsidR="009A4322" w:rsidRDefault="00000000">
    <w:pPr>
      <w:pBdr>
        <w:bottom w:val="single" w:sz="3" w:space="0" w:color="1B3A6B"/>
      </w:pBdr>
      <w:spacing w:after="130"/>
    </w:pPr>
    <w:r w:rsidRPr="0008722E">
      <w:rPr>
        <w:color w:val="64748B"/>
        <w:sz w:val="18"/>
        <w:szCs w:val="18"/>
        <w:lang w:val="en-US"/>
      </w:rPr>
      <w:t xml:space="preserve">ITS Prodigi / ITS Empoli  |  SS4I S.r.l.  </w:t>
    </w:r>
    <w:r>
      <w:rPr>
        <w:color w:val="64748B"/>
        <w:sz w:val="18"/>
        <w:szCs w:val="18"/>
      </w:rPr>
      <w:t xml:space="preserve">—  </w:t>
    </w:r>
    <w:r>
      <w:rPr>
        <w:b/>
        <w:bCs/>
        <w:color w:val="1B3A6B"/>
        <w:sz w:val="18"/>
        <w:szCs w:val="18"/>
      </w:rPr>
      <w:t>Sviluppo Sicuro del Software v8</w:t>
    </w:r>
    <w:r>
      <w:rPr>
        <w:color w:val="64748B"/>
        <w:sz w:val="18"/>
        <w:szCs w:val="18"/>
      </w:rPr>
      <w:t xml:space="preserve">  —  Ing. Alessandro Manneschi</w: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9157A58"/>
    <w:multiLevelType w:val="hybridMultilevel"/>
    <w:tmpl w:val="93CA1E14"/>
    <w:lvl w:ilvl="0" w:tplc="44AAA094">
      <w:start w:val="1"/>
      <w:numFmt w:val="decimal"/>
      <w:lvlText w:val="%1."/>
      <w:lvlJc w:val="left"/>
      <w:pPr>
        <w:ind w:hanging="360" w:left="720"/>
      </w:pPr>
    </w:lvl>
    <w:lvl w:ilvl="1" w:tplc="E4927188">
      <w:numFmt w:val="decimal"/>
      <w:lvlText w:val=""/>
      <w:lvlJc w:val="left"/>
    </w:lvl>
    <w:lvl w:ilvl="2" w:tplc="D21E7346">
      <w:numFmt w:val="decimal"/>
      <w:lvlText w:val=""/>
      <w:lvlJc w:val="left"/>
    </w:lvl>
    <w:lvl w:ilvl="3" w:tplc="AB5C76D4">
      <w:numFmt w:val="decimal"/>
      <w:lvlText w:val=""/>
      <w:lvlJc w:val="left"/>
    </w:lvl>
    <w:lvl w:ilvl="4" w:tplc="1E9809AA">
      <w:numFmt w:val="decimal"/>
      <w:lvlText w:val=""/>
      <w:lvlJc w:val="left"/>
    </w:lvl>
    <w:lvl w:ilvl="5" w:tplc="3F923D0C">
      <w:numFmt w:val="decimal"/>
      <w:lvlText w:val=""/>
      <w:lvlJc w:val="left"/>
    </w:lvl>
    <w:lvl w:ilvl="6" w:tplc="5E706B26">
      <w:numFmt w:val="decimal"/>
      <w:lvlText w:val=""/>
      <w:lvlJc w:val="left"/>
    </w:lvl>
    <w:lvl w:ilvl="7" w:tplc="0CC40C58">
      <w:numFmt w:val="decimal"/>
      <w:lvlText w:val=""/>
      <w:lvlJc w:val="left"/>
    </w:lvl>
    <w:lvl w:ilvl="8" w:tplc="07745D54">
      <w:numFmt w:val="decimal"/>
      <w:lvlText w:val=""/>
      <w:lvlJc w:val="left"/>
    </w:lvl>
  </w:abstractNum>
  <w:abstractNum w15:restartNumberingAfterBreak="0" w:abstractNumId="1">
    <w:nsid w:val="222527EF"/>
    <w:multiLevelType w:val="hybridMultilevel"/>
    <w:tmpl w:val="91785160"/>
    <w:lvl w:ilvl="0" w:tplc="3076A35C">
      <w:start w:val="1"/>
      <w:numFmt w:val="bullet"/>
      <w:lvlText w:val="•"/>
      <w:lvlJc w:val="left"/>
      <w:pPr>
        <w:ind w:hanging="360" w:left="720"/>
      </w:pPr>
    </w:lvl>
    <w:lvl w:ilvl="1" w:tplc="70F842E8">
      <w:start w:val="1"/>
      <w:numFmt w:val="bullet"/>
      <w:lvlText w:val="◦"/>
      <w:lvlJc w:val="left"/>
      <w:pPr>
        <w:ind w:hanging="360" w:left="1080"/>
      </w:pPr>
    </w:lvl>
    <w:lvl w:ilvl="2" w:tplc="3B6E3A4C">
      <w:numFmt w:val="decimal"/>
      <w:lvlText w:val=""/>
      <w:lvlJc w:val="left"/>
    </w:lvl>
    <w:lvl w:ilvl="3" w:tplc="09369624">
      <w:numFmt w:val="decimal"/>
      <w:lvlText w:val=""/>
      <w:lvlJc w:val="left"/>
    </w:lvl>
    <w:lvl w:ilvl="4" w:tplc="61F8FC46">
      <w:numFmt w:val="decimal"/>
      <w:lvlText w:val=""/>
      <w:lvlJc w:val="left"/>
    </w:lvl>
    <w:lvl w:ilvl="5" w:tplc="9F784870">
      <w:numFmt w:val="decimal"/>
      <w:lvlText w:val=""/>
      <w:lvlJc w:val="left"/>
    </w:lvl>
    <w:lvl w:ilvl="6" w:tplc="7DA24332">
      <w:numFmt w:val="decimal"/>
      <w:lvlText w:val=""/>
      <w:lvlJc w:val="left"/>
    </w:lvl>
    <w:lvl w:ilvl="7" w:tplc="2FD08AA6">
      <w:numFmt w:val="decimal"/>
      <w:lvlText w:val=""/>
      <w:lvlJc w:val="left"/>
    </w:lvl>
    <w:lvl w:ilvl="8" w:tplc="74CA037E">
      <w:numFmt w:val="decimal"/>
      <w:lvlText w:val=""/>
      <w:lvlJc w:val="left"/>
    </w:lvl>
  </w:abstractNum>
  <w:abstractNum w15:restartNumberingAfterBreak="0" w:abstractNumId="2">
    <w:nsid w:val="283956C4"/>
    <w:multiLevelType w:val="hybridMultilevel"/>
    <w:tmpl w:val="BF20C25A"/>
    <w:lvl w:ilvl="0" w:tplc="6B62EB36">
      <w:start w:val="1"/>
      <w:numFmt w:val="bullet"/>
      <w:lvlText w:val="●"/>
      <w:lvlJc w:val="left"/>
      <w:pPr>
        <w:ind w:hanging="360" w:left="720"/>
      </w:pPr>
    </w:lvl>
    <w:lvl w:ilvl="1" w:tplc="237A7958">
      <w:start w:val="1"/>
      <w:numFmt w:val="bullet"/>
      <w:lvlText w:val="○"/>
      <w:lvlJc w:val="left"/>
      <w:pPr>
        <w:ind w:hanging="360" w:left="1440"/>
      </w:pPr>
    </w:lvl>
    <w:lvl w:ilvl="2" w:tplc="9318ACAA">
      <w:start w:val="1"/>
      <w:numFmt w:val="bullet"/>
      <w:lvlText w:val="■"/>
      <w:lvlJc w:val="left"/>
      <w:pPr>
        <w:ind w:hanging="360" w:left="2160"/>
      </w:pPr>
    </w:lvl>
    <w:lvl w:ilvl="3" w:tplc="9B3E1D9A">
      <w:start w:val="1"/>
      <w:numFmt w:val="bullet"/>
      <w:lvlText w:val="●"/>
      <w:lvlJc w:val="left"/>
      <w:pPr>
        <w:ind w:hanging="360" w:left="2880"/>
      </w:pPr>
    </w:lvl>
    <w:lvl w:ilvl="4" w:tplc="0A2A5A1C">
      <w:start w:val="1"/>
      <w:numFmt w:val="bullet"/>
      <w:lvlText w:val="○"/>
      <w:lvlJc w:val="left"/>
      <w:pPr>
        <w:ind w:hanging="360" w:left="3600"/>
      </w:pPr>
    </w:lvl>
    <w:lvl w:ilvl="5" w:tplc="49025754">
      <w:start w:val="1"/>
      <w:numFmt w:val="bullet"/>
      <w:lvlText w:val="■"/>
      <w:lvlJc w:val="left"/>
      <w:pPr>
        <w:ind w:hanging="360" w:left="4320"/>
      </w:pPr>
    </w:lvl>
    <w:lvl w:ilvl="6" w:tplc="A4A284F0">
      <w:start w:val="1"/>
      <w:numFmt w:val="bullet"/>
      <w:lvlText w:val="●"/>
      <w:lvlJc w:val="left"/>
      <w:pPr>
        <w:ind w:hanging="360" w:left="5040"/>
      </w:pPr>
    </w:lvl>
    <w:lvl w:ilvl="7" w:tplc="4FB8D760">
      <w:start w:val="1"/>
      <w:numFmt w:val="bullet"/>
      <w:lvlText w:val="●"/>
      <w:lvlJc w:val="left"/>
      <w:pPr>
        <w:ind w:hanging="360" w:left="5760"/>
      </w:pPr>
    </w:lvl>
    <w:lvl w:ilvl="8" w:tplc="1AD82B0E">
      <w:start w:val="1"/>
      <w:numFmt w:val="bullet"/>
      <w:lvlText w:val="●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368724031" w:numId="1">
    <w:abstractNumId w:val="2"/>
    <w:lvlOverride w:ilvl="0">
      <w:startOverride w:val="1"/>
    </w:lvlOverride>
  </w:num>
  <w:num w16cid:durableId="363218855" w:numId="2">
    <w:abstractNumId w:val="1"/>
    <w:lvlOverride w:ilvl="0">
      <w:startOverride w:val="1"/>
    </w:lvlOverride>
  </w:num>
  <w:num w16cid:durableId="4522437" w:numId="3">
    <w:abstractNumId w:val="0"/>
    <w:lvlOverride w:ilvl="0">
      <w:startOverride w:val="1"/>
    </w:lvlOverride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08"/>
  <w:hyphenationZone w:val="283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4322"/>
    <w:rsid w:val="0008722E"/>
    <w:rsid w:val="009A4322"/>
    <w:rsid w:val="00A75F51"/>
    <w:rsid w:val="00D7151D"/>
  </w:rsids>
  <w:themeFontLang w:val="it-IT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BM Plex Sans" w:cs="IBM Plex Sans" w:eastAsia="IBM Plex Sans" w:hAnsi="IBM Plex Sans"/>
        <w:sz w:val="23"/>
        <w:szCs w:val="23"/>
        <w:lang w:bidi="ar-SA" w:eastAsia="it-IT" w:val="it-IT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e" w:type="paragraph">
    <w:name w:val="Normal"/>
    <w:qFormat/>
    <w:pPr>
      <w:spacing w:line="276" w:lineRule="auto"/>
    </w:pPr>
    <w:rPr>
      <w:color w:val="1A1A1A"/>
    </w:rPr>
  </w:style>
  <w:style w:styleId="Titolo1" w:type="paragraph">
    <w:name w:val="heading 1"/>
    <w:basedOn w:val="Normale"/>
    <w:next w:val="Normale"/>
    <w:uiPriority w:val="9"/>
    <w:qFormat/>
    <w:pPr>
      <w:spacing w:after="220" w:before="500"/>
      <w:outlineLvl w:val="0"/>
    </w:pPr>
    <w:rPr>
      <w:b/>
      <w:bCs/>
      <w:color w:val="FFFFFF"/>
      <w:sz w:val="36"/>
      <w:szCs w:val="36"/>
    </w:rPr>
  </w:style>
  <w:style w:styleId="Titolo2" w:type="paragraph">
    <w:name w:val="heading 2"/>
    <w:basedOn w:val="Normale"/>
    <w:next w:val="Normale"/>
    <w:uiPriority w:val="9"/>
    <w:unhideWhenUsed/>
    <w:qFormat/>
    <w:pPr>
      <w:spacing w:after="120" w:before="320"/>
      <w:outlineLvl w:val="1"/>
    </w:pPr>
    <w:rPr>
      <w:b/>
      <w:bCs/>
      <w:color w:val="1B3A6B"/>
      <w:sz w:val="28"/>
      <w:szCs w:val="28"/>
    </w:rPr>
  </w:style>
  <w:style w:styleId="Titolo3" w:type="paragraph">
    <w:name w:val="heading 3"/>
    <w:basedOn w:val="Normale"/>
    <w:next w:val="Normale"/>
    <w:uiPriority w:val="9"/>
    <w:unhideWhenUsed/>
    <w:qFormat/>
    <w:pPr>
      <w:spacing w:after="80" w:before="240"/>
      <w:outlineLvl w:val="2"/>
    </w:pPr>
    <w:rPr>
      <w:b/>
      <w:bCs/>
      <w:color w:val="1B3A6B"/>
    </w:rPr>
  </w:style>
  <w:style w:styleId="Titolo4" w:type="paragraph">
    <w:name w:val="heading 4"/>
    <w:basedOn w:val="Normale"/>
    <w:next w:val="Normale"/>
    <w:uiPriority w:val="9"/>
    <w:semiHidden/>
    <w:unhideWhenUsed/>
    <w:qFormat/>
    <w:pPr>
      <w:spacing w:after="60" w:before="180"/>
      <w:outlineLvl w:val="3"/>
    </w:pPr>
    <w:rPr>
      <w:b/>
      <w:bCs/>
      <w:color w:val="64748B"/>
      <w:sz w:val="21"/>
      <w:szCs w:val="21"/>
    </w:rPr>
  </w:style>
  <w:style w:styleId="Titolo5" w:type="paragraph">
    <w:name w:val="heading 5"/>
    <w:basedOn w:val="Normale"/>
    <w:next w:val="Normale"/>
    <w:uiPriority w:val="9"/>
    <w:semiHidden/>
    <w:unhideWhenUsed/>
    <w:qFormat/>
    <w:pPr>
      <w:outlineLvl w:val="4"/>
    </w:pPr>
    <w:rPr>
      <w:color w:val="2E74B5"/>
    </w:rPr>
  </w:style>
  <w:style w:styleId="Titolo6" w:type="paragraph">
    <w:name w:val="heading 6"/>
    <w:basedOn w:val="Normale"/>
    <w:next w:val="Normale"/>
    <w:uiPriority w:val="9"/>
    <w:semiHidden/>
    <w:unhideWhenUsed/>
    <w:qFormat/>
    <w:pPr>
      <w:outlineLvl w:val="5"/>
    </w:pPr>
    <w:rPr>
      <w:color w:val="1F4D78"/>
    </w:rPr>
  </w:style>
  <w:style w:default="1" w:styleId="Carpredefinitoparagrafo" w:type="character">
    <w:name w:val="Default Paragraph Font"/>
    <w:uiPriority w:val="1"/>
    <w:semiHidden/>
    <w:unhideWhenUsed/>
  </w:style>
  <w:style w:default="1" w:styleId="Tabellanormale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essunelenco" w:type="numbering">
    <w:name w:val="No List"/>
    <w:uiPriority w:val="99"/>
    <w:semiHidden/>
    <w:unhideWhenUsed/>
  </w:style>
  <w:style w:styleId="Titolo" w:type="paragraph">
    <w:name w:val="Title"/>
    <w:basedOn w:val="Normale"/>
    <w:next w:val="Normale"/>
    <w:uiPriority w:val="10"/>
    <w:qFormat/>
    <w:rPr>
      <w:sz w:val="56"/>
      <w:szCs w:val="56"/>
    </w:rPr>
  </w:style>
  <w:style w:customStyle="1" w:styleId="Enfasigrassetto1" w:type="paragraph">
    <w:name w:val="Enfasi (grassetto)1"/>
    <w:basedOn w:val="Normale"/>
    <w:next w:val="Normale"/>
    <w:qFormat/>
    <w:rPr>
      <w:b/>
      <w:bCs/>
    </w:rPr>
  </w:style>
  <w:style w:styleId="Paragrafoelenco" w:type="paragraph">
    <w:name w:val="List Paragraph"/>
    <w:basedOn w:val="Normale"/>
    <w:qFormat/>
  </w:style>
  <w:style w:styleId="Collegamentoipertestuale" w:type="character">
    <w:name w:val="Hyperlink"/>
    <w:uiPriority w:val="99"/>
    <w:unhideWhenUsed/>
    <w:rPr>
      <w:color w:val="0563C1"/>
      <w:u w:val="single"/>
    </w:rPr>
  </w:style>
  <w:style w:styleId="Rimandonotaapidipagina" w:type="character">
    <w:name w:val="footnote reference"/>
    <w:uiPriority w:val="99"/>
    <w:semiHidden/>
    <w:unhideWhenUsed/>
    <w:rPr>
      <w:vertAlign w:val="superscript"/>
    </w:rPr>
  </w:style>
  <w:style w:styleId="Testonotaapidipagina" w:type="paragraph">
    <w:name w:val="footnote text"/>
    <w:basedOn w:val="Normale"/>
    <w:link w:val="TestonotaapidipaginaCarattere"/>
    <w:uiPriority w:val="99"/>
    <w:semiHidden/>
    <w:unhideWhenUsed/>
    <w:pPr>
      <w:spacing w:line="240" w:lineRule="auto"/>
    </w:pPr>
    <w:rPr>
      <w:sz w:val="20"/>
      <w:szCs w:val="20"/>
    </w:rPr>
  </w:style>
  <w:style w:customStyle="1" w:styleId="TestonotaapidipaginaCarattere" w:type="character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styleId="Rimandonotadichiusura" w:type="character">
    <w:name w:val="endnote reference"/>
    <w:uiPriority w:val="99"/>
    <w:semiHidden/>
    <w:unhideWhenUsed/>
    <w:rPr>
      <w:vertAlign w:val="superscript"/>
    </w:rPr>
  </w:style>
  <w:style w:styleId="Testonotadichiusura" w:type="paragraph">
    <w:name w:val="endnote text"/>
    <w:basedOn w:val="Normale"/>
    <w:link w:val="TestonotadichiusuraCarattere"/>
    <w:uiPriority w:val="99"/>
    <w:semiHidden/>
    <w:unhideWhenUsed/>
    <w:pPr>
      <w:spacing w:line="240" w:lineRule="auto"/>
    </w:pPr>
    <w:rPr>
      <w:sz w:val="20"/>
      <w:szCs w:val="20"/>
    </w:rPr>
  </w:style>
  <w:style w:customStyle="1" w:styleId="TestonotadichiusuraCarattere" w:type="character">
    <w:name w:val="Testo nota di chiusura Carattere"/>
    <w:link w:val="Testonotadichiusura"/>
    <w:uiPriority w:val="99"/>
    <w:semiHidden/>
    <w:unhideWhenUsed/>
    <w:rPr>
      <w:sz w:val="20"/>
      <w:szCs w:val="20"/>
    </w:rPr>
  </w:style>
  <w:style w:styleId="Sommario1" w:type="paragraph">
    <w:name w:val="toc 1"/>
    <w:basedOn w:val="Normale"/>
    <w:next w:val="Normale"/>
    <w:autoRedefine/>
    <w:uiPriority w:val="39"/>
    <w:unhideWhenUsed/>
    <w:rsid w:val="0008722E"/>
    <w:pPr>
      <w:spacing w:after="100"/>
    </w:pPr>
  </w:style>
  <w:style w:styleId="Sommario2" w:type="paragraph">
    <w:name w:val="toc 2"/>
    <w:basedOn w:val="Normale"/>
    <w:next w:val="Normale"/>
    <w:autoRedefine/>
    <w:uiPriority w:val="39"/>
    <w:unhideWhenUsed/>
    <w:rsid w:val="0008722E"/>
    <w:pPr>
      <w:spacing w:after="100"/>
      <w:ind w:left="230"/>
    </w:pPr>
  </w:style>
  <w:style w:styleId="Sommario3" w:type="paragraph">
    <w:name w:val="toc 3"/>
    <w:basedOn w:val="Normale"/>
    <w:next w:val="Normale"/>
    <w:autoRedefine/>
    <w:uiPriority w:val="39"/>
    <w:unhideWhenUsed/>
    <w:rsid w:val="0008722E"/>
    <w:pPr>
      <w:spacing w:after="100"/>
      <w:ind w:left="460"/>
    </w:pPr>
  </w:style>
  <w:style w:styleId="Sommario4" w:type="paragraph">
    <w:name w:val="toc 4"/>
    <w:basedOn w:val="Normale"/>
    <w:next w:val="Normale"/>
    <w:autoRedefine/>
    <w:uiPriority w:val="39"/>
    <w:unhideWhenUsed/>
    <w:rsid w:val="0008722E"/>
    <w:pPr>
      <w:spacing w:after="100" w:line="278" w:lineRule="auto"/>
      <w:ind w:left="72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5" w:type="paragraph">
    <w:name w:val="toc 5"/>
    <w:basedOn w:val="Normale"/>
    <w:next w:val="Normale"/>
    <w:autoRedefine/>
    <w:uiPriority w:val="39"/>
    <w:unhideWhenUsed/>
    <w:rsid w:val="0008722E"/>
    <w:pPr>
      <w:spacing w:after="100" w:line="278" w:lineRule="auto"/>
      <w:ind w:left="96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6" w:type="paragraph">
    <w:name w:val="toc 6"/>
    <w:basedOn w:val="Normale"/>
    <w:next w:val="Normale"/>
    <w:autoRedefine/>
    <w:uiPriority w:val="39"/>
    <w:unhideWhenUsed/>
    <w:rsid w:val="0008722E"/>
    <w:pPr>
      <w:spacing w:after="100" w:line="278" w:lineRule="auto"/>
      <w:ind w:left="120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7" w:type="paragraph">
    <w:name w:val="toc 7"/>
    <w:basedOn w:val="Normale"/>
    <w:next w:val="Normale"/>
    <w:autoRedefine/>
    <w:uiPriority w:val="39"/>
    <w:unhideWhenUsed/>
    <w:rsid w:val="0008722E"/>
    <w:pPr>
      <w:spacing w:after="100" w:line="278" w:lineRule="auto"/>
      <w:ind w:left="144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8" w:type="paragraph">
    <w:name w:val="toc 8"/>
    <w:basedOn w:val="Normale"/>
    <w:next w:val="Normale"/>
    <w:autoRedefine/>
    <w:uiPriority w:val="39"/>
    <w:unhideWhenUsed/>
    <w:rsid w:val="0008722E"/>
    <w:pPr>
      <w:spacing w:after="100" w:line="278" w:lineRule="auto"/>
      <w:ind w:left="168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9" w:type="paragraph">
    <w:name w:val="toc 9"/>
    <w:basedOn w:val="Normale"/>
    <w:next w:val="Normale"/>
    <w:autoRedefine/>
    <w:uiPriority w:val="39"/>
    <w:unhideWhenUsed/>
    <w:rsid w:val="0008722E"/>
    <w:pPr>
      <w:spacing w:after="100" w:line="278" w:lineRule="auto"/>
      <w:ind w:left="192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Menzionenonrisolta" w:type="character">
    <w:name w:val="Unresolved Mention"/>
    <w:basedOn w:val="Carpredefinitoparagrafo"/>
    <w:uiPriority w:val="99"/>
    <w:semiHidden/>
    <w:unhideWhenUsed/>
    <w:rsid w:val="0008722E"/>
    <w:rPr>
      <w:color w:val="605E5C"/>
      <w:shd w:color="auto" w:fill="E1DFDD" w:val="clear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8" Target="header1.xml" Type="http://schemas.openxmlformats.org/officeDocument/2006/relationships/header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22492</Words>
  <Characters>128209</Characters>
  <Application>Microsoft Office Word</Application>
  <DocSecurity>0</DocSecurity>
  <Lines>1068</Lines>
  <Paragraphs>300</Paragraphs>
  <ScaleCrop>false</ScaleCrop>
  <Company/>
  <LinksUpToDate>false</LinksUpToDate>
  <CharactersWithSpaces>150401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2026-05-06T22:06:03Z</dcterms:created>
  <dcterms:modified xsi:type="dcterms:W3CDTF">2026-05-06T22:06:03Z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