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16690" w14:textId="389EEE71" w:rsidR="002F58C6" w:rsidRPr="002F58C6" w:rsidRDefault="002F58C6" w:rsidP="002F58C6">
      <w:pPr>
        <w:pStyle w:val="Title"/>
        <w:rPr>
          <w:rFonts w:eastAsia="Times New Roman" w:cs="Times New Roman"/>
          <w:color w:val="000000"/>
        </w:rPr>
      </w:pPr>
      <w:r w:rsidRPr="002F58C6">
        <w:rPr>
          <w:rFonts w:eastAsia="Times New Roman" w:cs="Times New Roman"/>
          <w:color w:val="000000"/>
        </w:rPr>
        <w:t xml:space="preserve">NMR Analysis of Human Serum Samples from </w:t>
      </w:r>
    </w:p>
    <w:p w14:paraId="7E64E2E8" w14:textId="4931E045" w:rsidR="002F58C6" w:rsidRPr="002F58C6" w:rsidRDefault="002F58C6" w:rsidP="002F58C6">
      <w:pPr>
        <w:pStyle w:val="Title"/>
      </w:pPr>
      <w:r w:rsidRPr="002F58C6">
        <w:rPr>
          <w:rFonts w:eastAsia="Times New Roman" w:cs="Times New Roman"/>
          <w:color w:val="000000"/>
        </w:rPr>
        <w:t>the Alzheimer’s Disease Neuroimaging Initiative</w:t>
      </w:r>
      <w:r w:rsidR="00DF0718" w:rsidRPr="002F58C6">
        <w:rPr>
          <w:rFonts w:eastAsia="Times New Roman" w:cs="Times New Roman"/>
          <w:color w:val="000000"/>
        </w:rPr>
        <w:t xml:space="preserve"> </w:t>
      </w:r>
      <w:r w:rsidRPr="002F58C6">
        <w:rPr>
          <w:rFonts w:eastAsia="Times New Roman" w:cs="Times New Roman"/>
          <w:color w:val="000000"/>
        </w:rPr>
        <w:t>Using the</w:t>
      </w:r>
      <w:r>
        <w:t xml:space="preserve"> </w:t>
      </w:r>
      <w:r w:rsidRPr="00E14008">
        <w:rPr>
          <w:rFonts w:eastAsia="Times New Roman" w:cs="Times New Roman"/>
          <w:color w:val="000000"/>
        </w:rPr>
        <w:t xml:space="preserve">Nightingale Health </w:t>
      </w:r>
      <w:r>
        <w:rPr>
          <w:rFonts w:eastAsia="Times New Roman" w:cs="Times New Roman"/>
          <w:color w:val="000000"/>
        </w:rPr>
        <w:t>Platform</w:t>
      </w:r>
    </w:p>
    <w:p w14:paraId="181E467B" w14:textId="7D6A2B12" w:rsidR="00F92209" w:rsidRDefault="00DD51FA" w:rsidP="00827FA0">
      <w:pPr>
        <w:pStyle w:val="Subtitle"/>
      </w:pPr>
      <w:r>
        <w:t>Paulus Artimo</w:t>
      </w:r>
    </w:p>
    <w:p w14:paraId="7D2ABF45" w14:textId="3D9B0FA9" w:rsidR="00DD51FA" w:rsidRDefault="00DD51FA" w:rsidP="00DD51FA">
      <w:pPr>
        <w:jc w:val="center"/>
      </w:pPr>
      <w:r>
        <w:t>Nightingale Health, Inc. Finland</w:t>
      </w:r>
    </w:p>
    <w:p w14:paraId="3F11C632" w14:textId="77777777" w:rsidR="00DD51FA" w:rsidRPr="00DD51FA" w:rsidRDefault="00DD51FA" w:rsidP="00DD51FA">
      <w:pPr>
        <w:jc w:val="center"/>
      </w:pPr>
    </w:p>
    <w:p w14:paraId="31883E5A" w14:textId="77777777" w:rsidR="00F92209" w:rsidRPr="00F92209" w:rsidRDefault="00F92209">
      <w:pPr>
        <w:rPr>
          <w:rFonts w:cs="Times New Roman"/>
        </w:rPr>
      </w:pPr>
    </w:p>
    <w:tbl>
      <w:tblPr>
        <w:tblStyle w:val="TableGrid"/>
        <w:tblW w:w="0" w:type="auto"/>
        <w:tblInd w:w="10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30"/>
        <w:gridCol w:w="6250"/>
      </w:tblGrid>
      <w:tr w:rsidR="00ED44CB" w:rsidRPr="00ED44CB" w14:paraId="3816D381" w14:textId="77777777" w:rsidTr="00F45483">
        <w:tc>
          <w:tcPr>
            <w:tcW w:w="7380" w:type="dxa"/>
            <w:gridSpan w:val="2"/>
            <w:shd w:val="clear" w:color="auto" w:fill="D0EBCB"/>
          </w:tcPr>
          <w:p w14:paraId="737DB1B1" w14:textId="2FB00601" w:rsidR="00ED44CB" w:rsidRPr="00827FA0" w:rsidRDefault="00ED44CB" w:rsidP="00DF0718">
            <w:pPr>
              <w:pStyle w:val="Caption"/>
              <w:rPr>
                <w:b/>
              </w:rPr>
            </w:pPr>
            <w:r w:rsidRPr="00827FA0">
              <w:rPr>
                <w:b/>
              </w:rPr>
              <w:t>Contents</w:t>
            </w:r>
          </w:p>
        </w:tc>
      </w:tr>
      <w:tr w:rsidR="00F45483" w:rsidRPr="00ED44CB" w14:paraId="68C34D79" w14:textId="77777777" w:rsidTr="00F45483">
        <w:tc>
          <w:tcPr>
            <w:tcW w:w="1130" w:type="dxa"/>
            <w:shd w:val="clear" w:color="auto" w:fill="F2F2F2" w:themeFill="background1" w:themeFillShade="F2"/>
          </w:tcPr>
          <w:p w14:paraId="6F1C1938" w14:textId="77777777" w:rsidR="00ED44CB" w:rsidRDefault="00ED44CB" w:rsidP="00827FA0">
            <w:pPr>
              <w:pStyle w:val="Caption"/>
            </w:pPr>
            <w:r w:rsidRPr="00ED44CB">
              <w:t xml:space="preserve">Page 1 </w:t>
            </w:r>
          </w:p>
          <w:p w14:paraId="5ED938DC" w14:textId="5FCE628D" w:rsidR="002F58C6" w:rsidRPr="002F58C6" w:rsidRDefault="002F58C6" w:rsidP="002F58C6">
            <w:pPr>
              <w:pStyle w:val="Caption"/>
            </w:pPr>
            <w:r>
              <w:t>Page 2</w:t>
            </w:r>
          </w:p>
        </w:tc>
        <w:tc>
          <w:tcPr>
            <w:tcW w:w="6250" w:type="dxa"/>
            <w:shd w:val="clear" w:color="auto" w:fill="F2F2F2" w:themeFill="background1" w:themeFillShade="F2"/>
          </w:tcPr>
          <w:p w14:paraId="31938023" w14:textId="4107EB19" w:rsidR="00ED44CB" w:rsidRDefault="002F58C6" w:rsidP="00827FA0">
            <w:pPr>
              <w:pStyle w:val="Caption"/>
            </w:pPr>
            <w:r>
              <w:t>Objective, Introduction</w:t>
            </w:r>
          </w:p>
          <w:p w14:paraId="63A91624" w14:textId="20748809" w:rsidR="002F58C6" w:rsidRPr="002F58C6" w:rsidRDefault="002F58C6" w:rsidP="002F58C6"/>
        </w:tc>
      </w:tr>
      <w:tr w:rsidR="00F45483" w:rsidRPr="00ED44CB" w14:paraId="3D1B306F" w14:textId="77777777" w:rsidTr="00F45483">
        <w:tc>
          <w:tcPr>
            <w:tcW w:w="1130" w:type="dxa"/>
            <w:shd w:val="clear" w:color="auto" w:fill="F2F2F2" w:themeFill="background1" w:themeFillShade="F2"/>
          </w:tcPr>
          <w:p w14:paraId="153FB83F" w14:textId="3B0622DC" w:rsidR="00ED44CB" w:rsidRPr="00ED44CB" w:rsidRDefault="00ED44CB" w:rsidP="008160C8">
            <w:pPr>
              <w:pStyle w:val="Caption"/>
            </w:pPr>
            <w:r w:rsidRPr="00ED44CB">
              <w:t xml:space="preserve">Page </w:t>
            </w:r>
            <w:r w:rsidR="008160C8">
              <w:t>3</w:t>
            </w:r>
          </w:p>
        </w:tc>
        <w:tc>
          <w:tcPr>
            <w:tcW w:w="6250" w:type="dxa"/>
            <w:shd w:val="clear" w:color="auto" w:fill="F2F2F2" w:themeFill="background1" w:themeFillShade="F2"/>
          </w:tcPr>
          <w:p w14:paraId="488BFAA4" w14:textId="2EDD9CC1" w:rsidR="00ED44CB" w:rsidRPr="00ED44CB" w:rsidRDefault="00ED44CB" w:rsidP="00827FA0">
            <w:pPr>
              <w:pStyle w:val="Caption"/>
            </w:pPr>
            <w:r w:rsidRPr="00ED44CB">
              <w:t>Section Title</w:t>
            </w:r>
          </w:p>
        </w:tc>
      </w:tr>
    </w:tbl>
    <w:p w14:paraId="0772A5AB" w14:textId="7466DF9F" w:rsidR="00FD0387" w:rsidRPr="00F92209" w:rsidRDefault="002F58C6" w:rsidP="00827FA0">
      <w:pPr>
        <w:pStyle w:val="Heading1"/>
      </w:pPr>
      <w:r>
        <w:t>Objective</w:t>
      </w:r>
    </w:p>
    <w:p w14:paraId="5226B18C" w14:textId="4CE0DF7C" w:rsidR="002F58C6" w:rsidRDefault="00C501AD" w:rsidP="002F58C6">
      <w:pPr>
        <w:rPr>
          <w:rFonts w:eastAsia="Times New Roman" w:cs="Times New Roman"/>
          <w:color w:val="000000"/>
        </w:rPr>
      </w:pPr>
      <w:r>
        <w:rPr>
          <w:rFonts w:eastAsia="Times New Roman" w:cs="Times New Roman"/>
          <w:color w:val="000000"/>
        </w:rPr>
        <w:t xml:space="preserve">Quantification of routine lipids, lipoprotein subclass profiling with lipid concentrations within 14 subclasses, fatty acid </w:t>
      </w:r>
      <w:r w:rsidR="002F686D">
        <w:rPr>
          <w:rFonts w:eastAsia="Times New Roman" w:cs="Times New Roman"/>
          <w:color w:val="000000"/>
        </w:rPr>
        <w:t>composition, and various low-molecular metabolites including amino acids, ketone bodies and gluconeogenesis-related metabolites</w:t>
      </w:r>
      <w:r w:rsidR="00FF52F5">
        <w:rPr>
          <w:rFonts w:eastAsia="Times New Roman" w:cs="Times New Roman"/>
          <w:color w:val="000000"/>
        </w:rPr>
        <w:t xml:space="preserve"> from the ADNI 1/GO/2 cohorts’ </w:t>
      </w:r>
      <w:r w:rsidR="00347FC2">
        <w:rPr>
          <w:rFonts w:eastAsia="Times New Roman" w:cs="Times New Roman"/>
          <w:color w:val="000000"/>
        </w:rPr>
        <w:t xml:space="preserve">human serum </w:t>
      </w:r>
      <w:r w:rsidR="00FF52F5">
        <w:rPr>
          <w:rFonts w:eastAsia="Times New Roman" w:cs="Times New Roman"/>
          <w:color w:val="000000"/>
        </w:rPr>
        <w:t xml:space="preserve">samples using Nightingale Health’s </w:t>
      </w:r>
      <w:r w:rsidR="00160C92">
        <w:rPr>
          <w:rFonts w:eastAsia="Times New Roman" w:cs="Times New Roman"/>
          <w:color w:val="000000"/>
        </w:rPr>
        <w:t>NMR metabolomics</w:t>
      </w:r>
      <w:r w:rsidR="00FF52F5">
        <w:rPr>
          <w:rFonts w:eastAsia="Times New Roman" w:cs="Times New Roman"/>
          <w:color w:val="000000"/>
        </w:rPr>
        <w:t xml:space="preserve"> platform.</w:t>
      </w:r>
    </w:p>
    <w:p w14:paraId="6869644D" w14:textId="4BBAE030" w:rsidR="002F58C6" w:rsidRPr="002F58C6" w:rsidRDefault="002F58C6" w:rsidP="002F58C6">
      <w:pPr>
        <w:pStyle w:val="Heading1"/>
      </w:pPr>
      <w:r w:rsidRPr="002F58C6">
        <w:t xml:space="preserve">Introduction </w:t>
      </w:r>
    </w:p>
    <w:p w14:paraId="170110A8" w14:textId="45E553F8" w:rsidR="00F92209" w:rsidRDefault="002F58C6" w:rsidP="00E14008">
      <w:pPr>
        <w:rPr>
          <w:rFonts w:eastAsia="Times New Roman" w:cs="Times New Roman"/>
          <w:color w:val="000000"/>
        </w:rPr>
      </w:pPr>
      <w:r>
        <w:rPr>
          <w:rFonts w:eastAsia="Times New Roman" w:cs="Times New Roman"/>
          <w:color w:val="000000"/>
        </w:rPr>
        <w:t xml:space="preserve">Nightingale Health </w:t>
      </w:r>
      <w:r w:rsidR="00086139">
        <w:rPr>
          <w:rFonts w:eastAsia="Times New Roman" w:cs="Times New Roman"/>
          <w:color w:val="000000"/>
        </w:rPr>
        <w:t>h</w:t>
      </w:r>
      <w:r w:rsidR="00E14008" w:rsidRPr="00E14008">
        <w:rPr>
          <w:rFonts w:eastAsia="Times New Roman" w:cs="Times New Roman"/>
          <w:color w:val="000000"/>
        </w:rPr>
        <w:t>as developed a Nuclear Magnetic Resonance (NMR) based blood biomarker analysis assay, quantifying over 220 metabolic biomarkers from a single blood sample. The result is a comprehensive molecular snapshot, covering biomarkers from multiple biological pathways and providing insights into human metabolism.</w:t>
      </w:r>
    </w:p>
    <w:p w14:paraId="21610551" w14:textId="2215C3EE" w:rsidR="00E066A7" w:rsidRDefault="00E066A7" w:rsidP="00E14008">
      <w:pPr>
        <w:rPr>
          <w:rFonts w:eastAsia="Times New Roman" w:cs="Times New Roman"/>
          <w:color w:val="000000"/>
        </w:rPr>
      </w:pPr>
    </w:p>
    <w:p w14:paraId="18640EDD" w14:textId="77777777" w:rsidR="00E066A7" w:rsidRDefault="00E066A7" w:rsidP="00E066A7">
      <w:pPr>
        <w:rPr>
          <w:rFonts w:eastAsia="Times New Roman" w:cs="Times New Roman"/>
          <w:color w:val="000000"/>
        </w:rPr>
      </w:pPr>
      <w:r w:rsidRPr="00E066A7">
        <w:rPr>
          <w:rFonts w:eastAsia="Times New Roman" w:cs="Times New Roman"/>
          <w:color w:val="000000"/>
        </w:rPr>
        <w:t>NMR and mass spectrometry have become key technolo</w:t>
      </w:r>
      <w:r>
        <w:rPr>
          <w:rFonts w:eastAsia="Times New Roman" w:cs="Times New Roman"/>
          <w:color w:val="000000"/>
        </w:rPr>
        <w:t>gies in the metabolomics field.  Howev</w:t>
      </w:r>
      <w:r w:rsidRPr="00E066A7">
        <w:rPr>
          <w:rFonts w:eastAsia="Times New Roman" w:cs="Times New Roman"/>
          <w:color w:val="000000"/>
        </w:rPr>
        <w:t>er, Nightingale’s NMR platform has an advantage when compared to mass spectrometry approaches as there are no batch effe</w:t>
      </w:r>
      <w:r>
        <w:rPr>
          <w:rFonts w:eastAsia="Times New Roman" w:cs="Times New Roman"/>
          <w:color w:val="000000"/>
        </w:rPr>
        <w:t>cts and it provides abso</w:t>
      </w:r>
      <w:r w:rsidRPr="00E066A7">
        <w:rPr>
          <w:rFonts w:eastAsia="Times New Roman" w:cs="Times New Roman"/>
          <w:color w:val="000000"/>
        </w:rPr>
        <w:t>lute concentrations of metabolic measures, rather than relative con</w:t>
      </w:r>
      <w:r>
        <w:rPr>
          <w:rFonts w:eastAsia="Times New Roman" w:cs="Times New Roman"/>
          <w:color w:val="000000"/>
        </w:rPr>
        <w:t>centrations. Absolute concentra</w:t>
      </w:r>
      <w:r w:rsidRPr="00E066A7">
        <w:rPr>
          <w:rFonts w:eastAsia="Times New Roman" w:cs="Times New Roman"/>
          <w:color w:val="000000"/>
        </w:rPr>
        <w:t>tions increase the interpretability of the biomarker data provided.</w:t>
      </w:r>
    </w:p>
    <w:p w14:paraId="3F5AEE45" w14:textId="77777777" w:rsidR="00E066A7" w:rsidRDefault="00E066A7" w:rsidP="00E066A7">
      <w:pPr>
        <w:rPr>
          <w:rFonts w:eastAsia="Times New Roman" w:cs="Times New Roman"/>
          <w:color w:val="000000"/>
        </w:rPr>
      </w:pPr>
    </w:p>
    <w:p w14:paraId="459697C7" w14:textId="634316DE" w:rsidR="0051436D" w:rsidRPr="00E066A7" w:rsidRDefault="00086139" w:rsidP="00E066A7">
      <w:pPr>
        <w:pStyle w:val="Heading1"/>
      </w:pPr>
      <w:r>
        <w:t>Sample Preparation</w:t>
      </w:r>
    </w:p>
    <w:p w14:paraId="08980AB5" w14:textId="5B9841AA" w:rsidR="00086139" w:rsidRPr="00086139" w:rsidRDefault="00086139" w:rsidP="00086139">
      <w:pPr>
        <w:rPr>
          <w:color w:val="000000"/>
          <w:lang w:val="en-GB"/>
        </w:rPr>
      </w:pPr>
      <w:r>
        <w:rPr>
          <w:color w:val="000000"/>
          <w:lang w:val="en-GB"/>
        </w:rPr>
        <w:t>The samples were delivered in two batches</w:t>
      </w:r>
      <w:r>
        <w:rPr>
          <w:color w:val="000000"/>
        </w:rPr>
        <w:t>. B</w:t>
      </w:r>
      <w:proofErr w:type="spellStart"/>
      <w:r>
        <w:rPr>
          <w:color w:val="000000"/>
          <w:lang w:val="en-GB"/>
        </w:rPr>
        <w:t>oth</w:t>
      </w:r>
      <w:proofErr w:type="spellEnd"/>
      <w:r>
        <w:rPr>
          <w:color w:val="000000"/>
          <w:lang w:val="en-GB"/>
        </w:rPr>
        <w:t xml:space="preserve"> batches were received on May 29</w:t>
      </w:r>
      <w:r>
        <w:rPr>
          <w:color w:val="000000"/>
          <w:vertAlign w:val="superscript"/>
          <w:lang w:val="en-GB"/>
        </w:rPr>
        <w:t>th</w:t>
      </w:r>
      <w:r>
        <w:rPr>
          <w:rStyle w:val="apple-converted-space"/>
          <w:color w:val="000000"/>
          <w:lang w:val="en-GB"/>
        </w:rPr>
        <w:t> </w:t>
      </w:r>
      <w:r>
        <w:rPr>
          <w:color w:val="000000"/>
          <w:lang w:val="en-GB"/>
        </w:rPr>
        <w:t xml:space="preserve">in good condition and placed into </w:t>
      </w:r>
      <w:r w:rsidRPr="00086139">
        <w:rPr>
          <w:color w:val="000000"/>
          <w:lang w:val="en-GB"/>
        </w:rPr>
        <w:t>-80°C freezer</w:t>
      </w:r>
    </w:p>
    <w:p w14:paraId="410A0517" w14:textId="77777777" w:rsidR="00086139" w:rsidRDefault="00086139" w:rsidP="00086139">
      <w:pPr>
        <w:ind w:left="1440" w:hanging="360"/>
        <w:rPr>
          <w:rStyle w:val="apple-converted-space"/>
          <w:color w:val="000000"/>
          <w:sz w:val="14"/>
          <w:szCs w:val="14"/>
        </w:rPr>
      </w:pPr>
      <w:r>
        <w:rPr>
          <w:color w:val="000000"/>
          <w:sz w:val="20"/>
          <w:szCs w:val="20"/>
        </w:rPr>
        <w:t>·</w:t>
      </w:r>
      <w:r>
        <w:rPr>
          <w:color w:val="000000"/>
          <w:sz w:val="14"/>
          <w:szCs w:val="14"/>
        </w:rPr>
        <w:t>        </w:t>
      </w:r>
      <w:r>
        <w:rPr>
          <w:rStyle w:val="apple-converted-space"/>
          <w:color w:val="000000"/>
          <w:sz w:val="14"/>
          <w:szCs w:val="14"/>
        </w:rPr>
        <w:t> </w:t>
      </w:r>
    </w:p>
    <w:p w14:paraId="4BDF87D0" w14:textId="3887666C" w:rsidR="00086139" w:rsidRPr="00086139" w:rsidRDefault="00086139" w:rsidP="00086139">
      <w:pPr>
        <w:pStyle w:val="ListParagraph"/>
        <w:numPr>
          <w:ilvl w:val="0"/>
          <w:numId w:val="4"/>
        </w:numPr>
        <w:rPr>
          <w:color w:val="000000"/>
        </w:rPr>
      </w:pPr>
      <w:r w:rsidRPr="00086139">
        <w:rPr>
          <w:color w:val="000000"/>
          <w:lang w:val="en-GB"/>
        </w:rPr>
        <w:t xml:space="preserve">Samples were thawed overnight at </w:t>
      </w:r>
      <w:r>
        <w:rPr>
          <w:color w:val="000000"/>
          <w:lang w:val="en-GB"/>
        </w:rPr>
        <w:t>+4°C (</w:t>
      </w:r>
      <w:r w:rsidRPr="00086139">
        <w:rPr>
          <w:color w:val="000000"/>
          <w:lang w:val="en-GB"/>
        </w:rPr>
        <w:t>number of thawed samples was the same as number of samples what would be measured on the next day</w:t>
      </w:r>
      <w:r>
        <w:rPr>
          <w:color w:val="000000"/>
          <w:lang w:val="en-GB"/>
        </w:rPr>
        <w:t>).</w:t>
      </w:r>
    </w:p>
    <w:p w14:paraId="58A2E17A" w14:textId="1508FEF8" w:rsidR="00086139" w:rsidRPr="00086139" w:rsidRDefault="00086139" w:rsidP="00086139">
      <w:pPr>
        <w:pStyle w:val="ListParagraph"/>
        <w:numPr>
          <w:ilvl w:val="0"/>
          <w:numId w:val="4"/>
        </w:numPr>
        <w:rPr>
          <w:color w:val="000000"/>
        </w:rPr>
      </w:pPr>
      <w:r>
        <w:rPr>
          <w:color w:val="000000"/>
          <w:lang w:val="en-GB"/>
        </w:rPr>
        <w:t>S</w:t>
      </w:r>
      <w:r w:rsidRPr="00086139">
        <w:rPr>
          <w:color w:val="000000"/>
          <w:lang w:val="en-GB"/>
        </w:rPr>
        <w:t>ample preparation and measurement took place between May 31</w:t>
      </w:r>
      <w:r w:rsidRPr="00086139">
        <w:rPr>
          <w:color w:val="000000"/>
          <w:vertAlign w:val="superscript"/>
          <w:lang w:val="en-GB"/>
        </w:rPr>
        <w:t>st</w:t>
      </w:r>
      <w:r w:rsidRPr="00086139">
        <w:rPr>
          <w:rStyle w:val="apple-converted-space"/>
          <w:color w:val="000000"/>
          <w:lang w:val="en-GB"/>
        </w:rPr>
        <w:t> </w:t>
      </w:r>
      <w:r w:rsidRPr="00086139">
        <w:rPr>
          <w:color w:val="000000"/>
          <w:lang w:val="en-GB"/>
        </w:rPr>
        <w:t>and June 9</w:t>
      </w:r>
      <w:r w:rsidRPr="00086139">
        <w:rPr>
          <w:color w:val="000000"/>
          <w:vertAlign w:val="superscript"/>
          <w:lang w:val="en-GB"/>
        </w:rPr>
        <w:t>th</w:t>
      </w:r>
      <w:r>
        <w:rPr>
          <w:color w:val="000000"/>
          <w:lang w:val="en-GB"/>
        </w:rPr>
        <w:t>.</w:t>
      </w:r>
    </w:p>
    <w:p w14:paraId="540FBC15" w14:textId="3FBB71C9" w:rsidR="00086139" w:rsidRPr="00086139" w:rsidRDefault="00086139" w:rsidP="00086139">
      <w:pPr>
        <w:pStyle w:val="ListParagraph"/>
        <w:numPr>
          <w:ilvl w:val="0"/>
          <w:numId w:val="4"/>
        </w:numPr>
        <w:rPr>
          <w:color w:val="000000"/>
        </w:rPr>
      </w:pPr>
      <w:r>
        <w:rPr>
          <w:color w:val="000000"/>
          <w:lang w:val="en-GB"/>
        </w:rPr>
        <w:t>B</w:t>
      </w:r>
      <w:r w:rsidRPr="00086139">
        <w:rPr>
          <w:color w:val="000000"/>
          <w:lang w:val="en-GB"/>
        </w:rPr>
        <w:t>efore the samples were prepared, they were mixed gently and then centrifuged (3200xG, 3 min, +4°C)</w:t>
      </w:r>
      <w:r>
        <w:rPr>
          <w:color w:val="000000"/>
          <w:lang w:val="en-GB"/>
        </w:rPr>
        <w:t>.</w:t>
      </w:r>
    </w:p>
    <w:p w14:paraId="7AAF5009" w14:textId="2233DF75" w:rsidR="00086139" w:rsidRPr="00086139" w:rsidRDefault="00086139" w:rsidP="00086139">
      <w:pPr>
        <w:pStyle w:val="ListParagraph"/>
        <w:numPr>
          <w:ilvl w:val="0"/>
          <w:numId w:val="4"/>
        </w:numPr>
        <w:rPr>
          <w:color w:val="000000"/>
        </w:rPr>
      </w:pPr>
      <w:r>
        <w:rPr>
          <w:color w:val="000000"/>
          <w:lang w:val="en-GB"/>
        </w:rPr>
        <w:t>S</w:t>
      </w:r>
      <w:r w:rsidRPr="00086139">
        <w:rPr>
          <w:color w:val="000000"/>
          <w:lang w:val="en-GB"/>
        </w:rPr>
        <w:t xml:space="preserve">amples were prepared using an automated 8-channel liquid handler (PerkinElmer JANUS </w:t>
      </w:r>
      <w:proofErr w:type="spellStart"/>
      <w:r w:rsidRPr="00086139">
        <w:rPr>
          <w:color w:val="000000"/>
          <w:lang w:val="en-GB"/>
        </w:rPr>
        <w:t>Varispan</w:t>
      </w:r>
      <w:proofErr w:type="spellEnd"/>
      <w:r w:rsidRPr="00086139">
        <w:rPr>
          <w:color w:val="000000"/>
          <w:lang w:val="en-GB"/>
        </w:rPr>
        <w:t xml:space="preserve"> Automated 8-tip Workstation) by mixing equal volumes </w:t>
      </w:r>
      <w:r w:rsidRPr="00086139">
        <w:rPr>
          <w:color w:val="000000"/>
          <w:lang w:val="en-GB"/>
        </w:rPr>
        <w:lastRenderedPageBreak/>
        <w:t>(approximately 80 µL) serum and NMR measurement buffer (Na</w:t>
      </w:r>
      <w:r w:rsidRPr="00086139">
        <w:rPr>
          <w:color w:val="000000"/>
          <w:vertAlign w:val="subscript"/>
          <w:lang w:val="en-GB"/>
        </w:rPr>
        <w:t>2</w:t>
      </w:r>
      <w:r w:rsidRPr="00086139">
        <w:rPr>
          <w:color w:val="000000"/>
          <w:lang w:val="en-GB"/>
        </w:rPr>
        <w:t>HPO</w:t>
      </w:r>
      <w:r w:rsidRPr="00086139">
        <w:rPr>
          <w:color w:val="000000"/>
          <w:vertAlign w:val="subscript"/>
          <w:lang w:val="en-GB"/>
        </w:rPr>
        <w:t>4</w:t>
      </w:r>
      <w:r w:rsidRPr="00086139">
        <w:rPr>
          <w:rStyle w:val="apple-converted-space"/>
          <w:color w:val="000000"/>
          <w:lang w:val="en-GB"/>
        </w:rPr>
        <w:t> </w:t>
      </w:r>
      <w:r w:rsidRPr="00086139">
        <w:rPr>
          <w:color w:val="000000"/>
          <w:lang w:val="en-GB"/>
        </w:rPr>
        <w:t>in 80%/20% H</w:t>
      </w:r>
      <w:r w:rsidRPr="00086139">
        <w:rPr>
          <w:color w:val="000000"/>
          <w:vertAlign w:val="subscript"/>
          <w:lang w:val="en-GB"/>
        </w:rPr>
        <w:t>2</w:t>
      </w:r>
      <w:r w:rsidRPr="00086139">
        <w:rPr>
          <w:color w:val="000000"/>
          <w:lang w:val="en-GB"/>
        </w:rPr>
        <w:t>O/D</w:t>
      </w:r>
      <w:r w:rsidRPr="00086139">
        <w:rPr>
          <w:color w:val="000000"/>
          <w:vertAlign w:val="subscript"/>
          <w:lang w:val="en-GB"/>
        </w:rPr>
        <w:t>2</w:t>
      </w:r>
      <w:r w:rsidRPr="00086139">
        <w:rPr>
          <w:color w:val="000000"/>
          <w:lang w:val="en-GB"/>
        </w:rPr>
        <w:t>O, pH 7.4; including also 0.08% sodium 3-(trimethylsilyl)propionate-2,2,3,3-d</w:t>
      </w:r>
      <w:r w:rsidRPr="00086139">
        <w:rPr>
          <w:color w:val="000000"/>
          <w:vertAlign w:val="subscript"/>
          <w:lang w:val="en-GB"/>
        </w:rPr>
        <w:t>4</w:t>
      </w:r>
      <w:r w:rsidRPr="00086139">
        <w:rPr>
          <w:rStyle w:val="apple-converted-space"/>
          <w:color w:val="000000"/>
          <w:lang w:val="en-GB"/>
        </w:rPr>
        <w:t> </w:t>
      </w:r>
      <w:r w:rsidRPr="00086139">
        <w:rPr>
          <w:color w:val="000000"/>
          <w:lang w:val="en-GB"/>
        </w:rPr>
        <w:t xml:space="preserve">and 0.04% sodium </w:t>
      </w:r>
      <w:proofErr w:type="spellStart"/>
      <w:r w:rsidRPr="00086139">
        <w:rPr>
          <w:color w:val="000000"/>
          <w:lang w:val="en-GB"/>
        </w:rPr>
        <w:t>azide</w:t>
      </w:r>
      <w:proofErr w:type="spellEnd"/>
      <w:r w:rsidRPr="00086139">
        <w:rPr>
          <w:color w:val="000000"/>
          <w:lang w:val="en-GB"/>
        </w:rPr>
        <w:t>) as described in</w:t>
      </w:r>
      <w:r w:rsidRPr="00086139">
        <w:rPr>
          <w:rStyle w:val="apple-converted-space"/>
          <w:color w:val="000000"/>
          <w:lang w:val="en-GB"/>
        </w:rPr>
        <w:t> </w:t>
      </w:r>
      <w:proofErr w:type="spellStart"/>
      <w:r w:rsidRPr="00086139">
        <w:rPr>
          <w:color w:val="000000"/>
          <w:lang w:val="en-GB"/>
        </w:rPr>
        <w:t>Soininen</w:t>
      </w:r>
      <w:proofErr w:type="spellEnd"/>
      <w:r w:rsidRPr="00086139">
        <w:rPr>
          <w:color w:val="000000"/>
          <w:lang w:val="en-GB"/>
        </w:rPr>
        <w:t xml:space="preserve"> P.</w:t>
      </w:r>
      <w:r>
        <w:rPr>
          <w:color w:val="000000"/>
          <w:lang w:val="en-GB"/>
        </w:rPr>
        <w:t xml:space="preserve"> et al, 2015.</w:t>
      </w:r>
    </w:p>
    <w:p w14:paraId="5E7FFE48" w14:textId="33B1EDCC" w:rsidR="00086139" w:rsidRPr="00086139" w:rsidRDefault="00086139" w:rsidP="00086139">
      <w:pPr>
        <w:pStyle w:val="ListParagraph"/>
        <w:numPr>
          <w:ilvl w:val="0"/>
          <w:numId w:val="4"/>
        </w:numPr>
        <w:rPr>
          <w:color w:val="000000"/>
        </w:rPr>
      </w:pPr>
      <w:r>
        <w:rPr>
          <w:color w:val="000000"/>
          <w:lang w:val="en-GB"/>
        </w:rPr>
        <w:t>T</w:t>
      </w:r>
      <w:r w:rsidRPr="00086139">
        <w:rPr>
          <w:color w:val="000000"/>
          <w:lang w:val="en-GB"/>
        </w:rPr>
        <w:t>he prepared samples were measured using a Bruker AVANCE III HD 500 MHz spectrometer equipped with cooled robotic sample changer (</w:t>
      </w:r>
      <w:proofErr w:type="spellStart"/>
      <w:r w:rsidRPr="00086139">
        <w:rPr>
          <w:color w:val="000000"/>
          <w:lang w:val="en-GB"/>
        </w:rPr>
        <w:t>SampleJet</w:t>
      </w:r>
      <w:proofErr w:type="spellEnd"/>
      <w:r w:rsidRPr="00086139">
        <w:rPr>
          <w:color w:val="000000"/>
          <w:lang w:val="en-GB"/>
        </w:rPr>
        <w:t>) and a cryogenically cooled triple resonance probe head (</w:t>
      </w:r>
      <w:proofErr w:type="spellStart"/>
      <w:r w:rsidRPr="00086139">
        <w:rPr>
          <w:color w:val="000000"/>
          <w:lang w:val="en-GB"/>
        </w:rPr>
        <w:t>CryoProbe</w:t>
      </w:r>
      <w:proofErr w:type="spellEnd"/>
      <w:r w:rsidRPr="00086139">
        <w:rPr>
          <w:color w:val="000000"/>
          <w:lang w:val="en-GB"/>
        </w:rPr>
        <w:t xml:space="preserve"> Prodigy TCI)</w:t>
      </w:r>
      <w:r>
        <w:rPr>
          <w:color w:val="000000"/>
          <w:lang w:val="en-GB"/>
        </w:rPr>
        <w:t>. (T</w:t>
      </w:r>
      <w:r w:rsidRPr="00086139">
        <w:rPr>
          <w:color w:val="000000"/>
          <w:lang w:val="en-GB"/>
        </w:rPr>
        <w:t>he relevant NMR spectroscopy details are g</w:t>
      </w:r>
      <w:r>
        <w:rPr>
          <w:color w:val="000000"/>
          <w:lang w:val="en-GB"/>
        </w:rPr>
        <w:t xml:space="preserve">iven in </w:t>
      </w:r>
      <w:proofErr w:type="spellStart"/>
      <w:r>
        <w:rPr>
          <w:color w:val="000000"/>
          <w:lang w:val="en-GB"/>
        </w:rPr>
        <w:t>Soininen</w:t>
      </w:r>
      <w:proofErr w:type="spellEnd"/>
      <w:r>
        <w:rPr>
          <w:color w:val="000000"/>
          <w:lang w:val="en-GB"/>
        </w:rPr>
        <w:t xml:space="preserve"> et al, </w:t>
      </w:r>
      <w:r w:rsidRPr="00086139">
        <w:rPr>
          <w:color w:val="000000"/>
          <w:lang w:val="en-GB"/>
        </w:rPr>
        <w:t>2009</w:t>
      </w:r>
      <w:r>
        <w:rPr>
          <w:color w:val="000000"/>
          <w:lang w:val="en-GB"/>
        </w:rPr>
        <w:t>.</w:t>
      </w:r>
    </w:p>
    <w:p w14:paraId="78F2B695" w14:textId="77777777" w:rsidR="00086139" w:rsidRDefault="00086139" w:rsidP="00827FA0">
      <w:pPr>
        <w:pStyle w:val="Heading2"/>
      </w:pPr>
    </w:p>
    <w:p w14:paraId="55A20014" w14:textId="0A9E60C2" w:rsidR="00C26E82" w:rsidRDefault="00086139" w:rsidP="00827FA0">
      <w:pPr>
        <w:pStyle w:val="Heading2"/>
      </w:pPr>
      <w:r>
        <w:t>NMR data processing</w:t>
      </w:r>
    </w:p>
    <w:p w14:paraId="58DAA661" w14:textId="1F2D4FC0" w:rsidR="00086139" w:rsidRPr="00086139" w:rsidRDefault="00086139" w:rsidP="00086139">
      <w:pPr>
        <w:pStyle w:val="ListParagraph"/>
        <w:numPr>
          <w:ilvl w:val="0"/>
          <w:numId w:val="5"/>
        </w:numPr>
        <w:rPr>
          <w:color w:val="000000"/>
        </w:rPr>
      </w:pPr>
      <w:r>
        <w:rPr>
          <w:color w:val="000000"/>
          <w:lang w:val="en-GB"/>
        </w:rPr>
        <w:t>T</w:t>
      </w:r>
      <w:r w:rsidRPr="00086139">
        <w:rPr>
          <w:color w:val="000000"/>
          <w:lang w:val="en-GB"/>
        </w:rPr>
        <w:t>he NMR data was processed, and metabolites were quantified using Nightingale Health's advanced proprietary software (</w:t>
      </w:r>
      <w:proofErr w:type="spellStart"/>
      <w:r w:rsidRPr="00086139">
        <w:rPr>
          <w:color w:val="000000"/>
          <w:lang w:val="en-GB"/>
        </w:rPr>
        <w:t>Würtz</w:t>
      </w:r>
      <w:proofErr w:type="spellEnd"/>
      <w:r w:rsidRPr="00086139">
        <w:rPr>
          <w:color w:val="000000"/>
          <w:lang w:val="en-GB"/>
        </w:rPr>
        <w:t xml:space="preserve"> et al, 2017</w:t>
      </w:r>
      <w:r>
        <w:rPr>
          <w:color w:val="000000"/>
          <w:lang w:val="en-GB"/>
        </w:rPr>
        <w:t>)</w:t>
      </w:r>
      <w:r w:rsidRPr="00086139">
        <w:rPr>
          <w:color w:val="000000"/>
          <w:lang w:val="en-GB"/>
        </w:rPr>
        <w:t>.</w:t>
      </w:r>
    </w:p>
    <w:p w14:paraId="572DBAD1" w14:textId="50DBF5B7" w:rsidR="00086139" w:rsidRPr="00086139" w:rsidRDefault="00086139" w:rsidP="007A5892">
      <w:pPr>
        <w:pStyle w:val="ListParagraph"/>
        <w:numPr>
          <w:ilvl w:val="0"/>
          <w:numId w:val="5"/>
        </w:numPr>
        <w:rPr>
          <w:color w:val="000000"/>
        </w:rPr>
      </w:pPr>
      <w:r w:rsidRPr="00086139">
        <w:rPr>
          <w:color w:val="000000"/>
        </w:rPr>
        <w:t xml:space="preserve">The individual metabolite measurements and the overall metabolite distributions were </w:t>
      </w:r>
      <w:proofErr w:type="spellStart"/>
      <w:r w:rsidRPr="00086139">
        <w:rPr>
          <w:color w:val="000000"/>
        </w:rPr>
        <w:t>analysed</w:t>
      </w:r>
      <w:proofErr w:type="spellEnd"/>
      <w:r w:rsidRPr="00086139">
        <w:rPr>
          <w:color w:val="000000"/>
        </w:rPr>
        <w:t xml:space="preserve"> as part of Nightingale’s quality control procedures with observations detailed in the results delivery for ADNI/Duke</w:t>
      </w:r>
      <w:r>
        <w:rPr>
          <w:color w:val="000000"/>
        </w:rPr>
        <w:t xml:space="preserve"> (</w:t>
      </w:r>
      <w:r w:rsidR="007A5892">
        <w:rPr>
          <w:color w:val="000000"/>
        </w:rPr>
        <w:t>ADMC Nightingale Platform-</w:t>
      </w:r>
      <w:bookmarkStart w:id="0" w:name="_GoBack"/>
      <w:bookmarkEnd w:id="0"/>
      <w:r w:rsidR="007A5892" w:rsidRPr="007A5892">
        <w:rPr>
          <w:color w:val="000000"/>
        </w:rPr>
        <w:t>Report</w:t>
      </w:r>
      <w:r>
        <w:rPr>
          <w:color w:val="000000"/>
        </w:rPr>
        <w:t xml:space="preserve">.pdf and </w:t>
      </w:r>
      <w:r w:rsidR="007A5892">
        <w:rPr>
          <w:color w:val="000000"/>
        </w:rPr>
        <w:t>ADMC Nightingale Platform-</w:t>
      </w:r>
      <w:r w:rsidR="007A5892" w:rsidRPr="007A5892">
        <w:rPr>
          <w:color w:val="000000"/>
        </w:rPr>
        <w:t>Result file description</w:t>
      </w:r>
      <w:r>
        <w:rPr>
          <w:color w:val="000000"/>
        </w:rPr>
        <w:t>.pdf)</w:t>
      </w:r>
      <w:r w:rsidRPr="00086139">
        <w:rPr>
          <w:color w:val="000000"/>
        </w:rPr>
        <w:t>. Overall, the metabolite levels broadly fall within the distributions commonly observed in general population cohorts. The sample quality was deemed to be good.</w:t>
      </w:r>
    </w:p>
    <w:p w14:paraId="14032345" w14:textId="54398E5B" w:rsidR="0051436D" w:rsidRPr="00F92209" w:rsidRDefault="00927980" w:rsidP="0051436D">
      <w:pPr>
        <w:pStyle w:val="Heading1"/>
      </w:pPr>
      <w:r w:rsidRPr="00616B22">
        <w:rPr>
          <w:highlight w:val="green"/>
          <w:u w:val="single"/>
        </w:rPr>
        <w:t>Version</w:t>
      </w:r>
      <w:r w:rsidR="00F5128B" w:rsidRPr="00616B22">
        <w:rPr>
          <w:highlight w:val="green"/>
          <w:u w:val="single"/>
        </w:rPr>
        <w:t xml:space="preserve"> Information</w:t>
      </w:r>
      <w:r w:rsidR="0051436D">
        <w:rPr>
          <w:highlight w:val="green"/>
          <w:u w:val="single"/>
        </w:rPr>
        <w:t xml:space="preserve"> </w:t>
      </w:r>
    </w:p>
    <w:p w14:paraId="3AEEC6FD" w14:textId="6D035ABB" w:rsidR="00695B97" w:rsidRPr="00F5128B" w:rsidRDefault="00927980" w:rsidP="00695B97">
      <w:pPr>
        <w:rPr>
          <w:rFonts w:eastAsia="Times New Roman" w:cs="Times New Roman"/>
          <w:u w:val="single"/>
        </w:rPr>
      </w:pPr>
      <w:r w:rsidRPr="00616B22">
        <w:rPr>
          <w:rFonts w:eastAsia="Times New Roman" w:cs="Times New Roman"/>
          <w:color w:val="000000"/>
          <w:highlight w:val="green"/>
          <w:u w:val="single"/>
        </w:rPr>
        <w:t xml:space="preserve">This document supersedes </w:t>
      </w:r>
      <w:r w:rsidR="00695B97" w:rsidRPr="00616B22">
        <w:rPr>
          <w:rFonts w:eastAsia="Times New Roman" w:cs="Times New Roman"/>
          <w:color w:val="000000"/>
          <w:highlight w:val="green"/>
          <w:u w:val="single"/>
        </w:rPr>
        <w:t xml:space="preserve">our previous </w:t>
      </w:r>
      <w:r w:rsidR="00F5128B" w:rsidRPr="00616B22">
        <w:rPr>
          <w:rFonts w:eastAsia="Times New Roman" w:cs="Times New Roman"/>
          <w:color w:val="000000"/>
          <w:highlight w:val="green"/>
          <w:u w:val="single"/>
        </w:rPr>
        <w:t>document</w:t>
      </w:r>
      <w:r w:rsidR="00205A0B" w:rsidRPr="00616B22">
        <w:rPr>
          <w:rFonts w:eastAsia="Times New Roman" w:cs="Times New Roman"/>
          <w:color w:val="000000"/>
          <w:highlight w:val="green"/>
          <w:u w:val="single"/>
        </w:rPr>
        <w:t xml:space="preserve"> dated [date]</w:t>
      </w:r>
      <w:r w:rsidR="00695B97" w:rsidRPr="00616B22">
        <w:rPr>
          <w:rFonts w:eastAsia="Times New Roman" w:cs="Times New Roman"/>
          <w:color w:val="000000"/>
          <w:highlight w:val="green"/>
          <w:u w:val="single"/>
        </w:rPr>
        <w:t>.  Specific changes in our methods are</w:t>
      </w:r>
      <w:r w:rsidR="00205A0B" w:rsidRPr="00616B22">
        <w:rPr>
          <w:rFonts w:eastAsia="Times New Roman" w:cs="Times New Roman"/>
          <w:color w:val="000000"/>
          <w:highlight w:val="green"/>
          <w:u w:val="single"/>
        </w:rPr>
        <w:t xml:space="preserve"> summarized in this section.</w:t>
      </w:r>
      <w:r w:rsidR="00695B97" w:rsidRPr="00F5128B">
        <w:rPr>
          <w:rFonts w:eastAsia="Times New Roman" w:cs="Times New Roman"/>
          <w:color w:val="000000"/>
          <w:u w:val="single"/>
        </w:rPr>
        <w:t xml:space="preserve">  </w:t>
      </w:r>
    </w:p>
    <w:p w14:paraId="23EB2AB2" w14:textId="3B154B19" w:rsidR="00927980" w:rsidRPr="00F92209" w:rsidRDefault="00927980" w:rsidP="00927980">
      <w:pPr>
        <w:rPr>
          <w:rFonts w:eastAsia="Times New Roman" w:cs="Times New Roman"/>
        </w:rPr>
      </w:pPr>
    </w:p>
    <w:p w14:paraId="20902884" w14:textId="365E98C1" w:rsidR="00927980" w:rsidRPr="00522BFA" w:rsidRDefault="00522BFA" w:rsidP="00927980">
      <w:pPr>
        <w:rPr>
          <w:sz w:val="28"/>
          <w:szCs w:val="28"/>
          <w:u w:val="single"/>
        </w:rPr>
      </w:pPr>
      <w:r w:rsidRPr="00522BFA">
        <w:rPr>
          <w:sz w:val="28"/>
          <w:szCs w:val="28"/>
          <w:highlight w:val="green"/>
          <w:u w:val="single"/>
        </w:rPr>
        <w:t>Dataset Information</w:t>
      </w:r>
    </w:p>
    <w:p w14:paraId="0836B8DD" w14:textId="1889E8CD" w:rsidR="00522BFA" w:rsidRPr="00522BFA" w:rsidRDefault="00522BFA" w:rsidP="00927980">
      <w:pPr>
        <w:rPr>
          <w:highlight w:val="green"/>
        </w:rPr>
      </w:pPr>
      <w:r w:rsidRPr="00522BFA">
        <w:rPr>
          <w:highlight w:val="green"/>
        </w:rPr>
        <w:t>This methods document applies to the following dataset(s) available from the ADNI repository:</w:t>
      </w:r>
    </w:p>
    <w:p w14:paraId="28E52979" w14:textId="77777777" w:rsidR="00522BFA" w:rsidRPr="00522BFA" w:rsidRDefault="00522BFA" w:rsidP="00927980">
      <w:pPr>
        <w:rPr>
          <w:highlight w:val="green"/>
        </w:rPr>
      </w:pPr>
    </w:p>
    <w:tbl>
      <w:tblPr>
        <w:tblStyle w:val="TableGrid"/>
        <w:tblW w:w="0" w:type="auto"/>
        <w:tblLook w:val="04A0" w:firstRow="1" w:lastRow="0" w:firstColumn="1" w:lastColumn="0" w:noHBand="0" w:noVBand="1"/>
      </w:tblPr>
      <w:tblGrid>
        <w:gridCol w:w="6505"/>
        <w:gridCol w:w="2845"/>
      </w:tblGrid>
      <w:tr w:rsidR="00522BFA" w:rsidRPr="00522BFA" w14:paraId="13B0F1DC" w14:textId="77777777" w:rsidTr="00522BFA">
        <w:tc>
          <w:tcPr>
            <w:tcW w:w="6678" w:type="dxa"/>
          </w:tcPr>
          <w:p w14:paraId="6A86FEC5" w14:textId="367AE4E8" w:rsidR="00522BFA" w:rsidRPr="00B01C85" w:rsidRDefault="00522BFA" w:rsidP="00927980">
            <w:pPr>
              <w:rPr>
                <w:b/>
                <w:highlight w:val="green"/>
              </w:rPr>
            </w:pPr>
            <w:r w:rsidRPr="00B01C85">
              <w:rPr>
                <w:b/>
                <w:highlight w:val="green"/>
              </w:rPr>
              <w:t>Dataset Name</w:t>
            </w:r>
          </w:p>
        </w:tc>
        <w:tc>
          <w:tcPr>
            <w:tcW w:w="2898" w:type="dxa"/>
          </w:tcPr>
          <w:p w14:paraId="57E8A93A" w14:textId="23AC6D2D" w:rsidR="00522BFA" w:rsidRPr="00B01C85" w:rsidRDefault="00522BFA" w:rsidP="00927980">
            <w:pPr>
              <w:rPr>
                <w:b/>
                <w:highlight w:val="green"/>
              </w:rPr>
            </w:pPr>
            <w:r w:rsidRPr="00B01C85">
              <w:rPr>
                <w:b/>
                <w:highlight w:val="green"/>
              </w:rPr>
              <w:t>Date Submitted</w:t>
            </w:r>
          </w:p>
        </w:tc>
      </w:tr>
      <w:tr w:rsidR="00522BFA" w14:paraId="1C19F75B" w14:textId="77777777" w:rsidTr="00522BFA">
        <w:tc>
          <w:tcPr>
            <w:tcW w:w="6678" w:type="dxa"/>
          </w:tcPr>
          <w:p w14:paraId="72DB186C" w14:textId="6491745B" w:rsidR="00522BFA" w:rsidRPr="00522BFA" w:rsidRDefault="00086139" w:rsidP="00086139">
            <w:pPr>
              <w:rPr>
                <w:highlight w:val="green"/>
              </w:rPr>
            </w:pPr>
            <w:r>
              <w:rPr>
                <w:highlight w:val="green"/>
              </w:rPr>
              <w:t>Nightingale</w:t>
            </w:r>
            <w:r w:rsidR="00522BFA" w:rsidRPr="00522BFA">
              <w:rPr>
                <w:highlight w:val="green"/>
              </w:rPr>
              <w:t xml:space="preserve"> – </w:t>
            </w:r>
            <w:r>
              <w:rPr>
                <w:highlight w:val="green"/>
              </w:rPr>
              <w:t>NMR Lipoprotein</w:t>
            </w:r>
            <w:r w:rsidR="00522BFA" w:rsidRPr="00522BFA">
              <w:rPr>
                <w:highlight w:val="green"/>
              </w:rPr>
              <w:t xml:space="preserve"> Analysis </w:t>
            </w:r>
            <w:r>
              <w:rPr>
                <w:highlight w:val="green"/>
              </w:rPr>
              <w:t>[ADNI 1/GO/2]</w:t>
            </w:r>
          </w:p>
        </w:tc>
        <w:tc>
          <w:tcPr>
            <w:tcW w:w="2898" w:type="dxa"/>
          </w:tcPr>
          <w:p w14:paraId="5A44CA83" w14:textId="1DE3BAD1" w:rsidR="00522BFA" w:rsidRDefault="00086139" w:rsidP="00927980">
            <w:r>
              <w:rPr>
                <w:highlight w:val="green"/>
              </w:rPr>
              <w:t>17 July 2018</w:t>
            </w:r>
          </w:p>
        </w:tc>
      </w:tr>
    </w:tbl>
    <w:p w14:paraId="6616ECDE" w14:textId="77777777" w:rsidR="00522BFA" w:rsidRPr="00927980" w:rsidRDefault="00522BFA" w:rsidP="00927980"/>
    <w:p w14:paraId="180EAAC8" w14:textId="0D01FE94" w:rsidR="00FD0387" w:rsidRPr="00F92209" w:rsidRDefault="00F92209" w:rsidP="00827FA0">
      <w:pPr>
        <w:pStyle w:val="Heading1"/>
      </w:pPr>
      <w:r w:rsidRPr="00F92209">
        <w:t>References</w:t>
      </w:r>
      <w:r w:rsidR="00ED44CB">
        <w:softHyphen/>
      </w:r>
    </w:p>
    <w:p w14:paraId="53869C27" w14:textId="43205AB8" w:rsidR="00F92209" w:rsidRPr="00086139" w:rsidRDefault="00086139" w:rsidP="00827FA0">
      <w:pPr>
        <w:pStyle w:val="ListParagraph"/>
        <w:numPr>
          <w:ilvl w:val="0"/>
          <w:numId w:val="1"/>
        </w:numPr>
        <w:rPr>
          <w:rFonts w:cs="Times New Roman"/>
        </w:rPr>
      </w:pPr>
      <w:proofErr w:type="spellStart"/>
      <w:r w:rsidRPr="00086139">
        <w:rPr>
          <w:color w:val="000000"/>
          <w:lang w:val="en-GB"/>
        </w:rPr>
        <w:t>Soininen</w:t>
      </w:r>
      <w:proofErr w:type="spellEnd"/>
      <w:r w:rsidRPr="00086139">
        <w:rPr>
          <w:color w:val="000000"/>
          <w:lang w:val="en-GB"/>
        </w:rPr>
        <w:t xml:space="preserve"> P., </w:t>
      </w:r>
      <w:proofErr w:type="spellStart"/>
      <w:r w:rsidRPr="00086139">
        <w:rPr>
          <w:color w:val="000000"/>
          <w:lang w:val="en-GB"/>
        </w:rPr>
        <w:t>Kangas</w:t>
      </w:r>
      <w:proofErr w:type="spellEnd"/>
      <w:r w:rsidRPr="00086139">
        <w:rPr>
          <w:color w:val="000000"/>
          <w:lang w:val="en-GB"/>
        </w:rPr>
        <w:t xml:space="preserve"> A.J., </w:t>
      </w:r>
      <w:proofErr w:type="spellStart"/>
      <w:r w:rsidRPr="00086139">
        <w:rPr>
          <w:color w:val="000000"/>
          <w:lang w:val="en-GB"/>
        </w:rPr>
        <w:t>Würtz</w:t>
      </w:r>
      <w:proofErr w:type="spellEnd"/>
      <w:r w:rsidRPr="00086139">
        <w:rPr>
          <w:color w:val="000000"/>
          <w:lang w:val="en-GB"/>
        </w:rPr>
        <w:t xml:space="preserve"> P., </w:t>
      </w:r>
      <w:proofErr w:type="spellStart"/>
      <w:r w:rsidRPr="00086139">
        <w:rPr>
          <w:color w:val="000000"/>
          <w:lang w:val="en-GB"/>
        </w:rPr>
        <w:t>Suna</w:t>
      </w:r>
      <w:proofErr w:type="spellEnd"/>
      <w:r w:rsidRPr="00086139">
        <w:rPr>
          <w:color w:val="000000"/>
          <w:lang w:val="en-GB"/>
        </w:rPr>
        <w:t xml:space="preserve"> T., Ala-</w:t>
      </w:r>
      <w:proofErr w:type="spellStart"/>
      <w:r w:rsidRPr="00086139">
        <w:rPr>
          <w:color w:val="000000"/>
          <w:lang w:val="en-GB"/>
        </w:rPr>
        <w:t>Korpela</w:t>
      </w:r>
      <w:proofErr w:type="spellEnd"/>
      <w:r w:rsidRPr="00086139">
        <w:rPr>
          <w:color w:val="000000"/>
          <w:lang w:val="en-GB"/>
        </w:rPr>
        <w:t xml:space="preserve"> M. (2015) Quantitative serum nuclear magnetic resonance metabolomics in cardiovascular epidemiology and genetics. </w:t>
      </w:r>
      <w:proofErr w:type="spellStart"/>
      <w:r w:rsidRPr="00086139">
        <w:rPr>
          <w:color w:val="000000"/>
          <w:lang w:val="en-GB"/>
        </w:rPr>
        <w:t>Circ</w:t>
      </w:r>
      <w:proofErr w:type="spellEnd"/>
      <w:r w:rsidRPr="00086139">
        <w:rPr>
          <w:color w:val="000000"/>
          <w:lang w:val="en-GB"/>
        </w:rPr>
        <w:t xml:space="preserve"> </w:t>
      </w:r>
      <w:proofErr w:type="spellStart"/>
      <w:r w:rsidRPr="00086139">
        <w:rPr>
          <w:color w:val="000000"/>
          <w:lang w:val="en-GB"/>
        </w:rPr>
        <w:t>Cardiovasc</w:t>
      </w:r>
      <w:proofErr w:type="spellEnd"/>
      <w:r w:rsidRPr="00086139">
        <w:rPr>
          <w:color w:val="000000"/>
          <w:lang w:val="en-GB"/>
        </w:rPr>
        <w:t xml:space="preserve"> Genet 8:192–206.</w:t>
      </w:r>
    </w:p>
    <w:p w14:paraId="26CF3EA3" w14:textId="30FF4735" w:rsidR="00086139" w:rsidRPr="00086139" w:rsidRDefault="00086139" w:rsidP="00086139">
      <w:pPr>
        <w:pStyle w:val="ListParagraph"/>
        <w:numPr>
          <w:ilvl w:val="0"/>
          <w:numId w:val="1"/>
        </w:numPr>
        <w:rPr>
          <w:color w:val="000000"/>
        </w:rPr>
      </w:pPr>
      <w:proofErr w:type="spellStart"/>
      <w:r w:rsidRPr="00086139">
        <w:rPr>
          <w:color w:val="000000"/>
          <w:lang w:val="en-GB"/>
        </w:rPr>
        <w:t>Soininen</w:t>
      </w:r>
      <w:proofErr w:type="spellEnd"/>
      <w:r w:rsidRPr="00086139">
        <w:rPr>
          <w:color w:val="000000"/>
          <w:lang w:val="en-GB"/>
        </w:rPr>
        <w:t xml:space="preserve"> et al</w:t>
      </w:r>
      <w:r>
        <w:rPr>
          <w:color w:val="000000"/>
          <w:lang w:val="en-GB"/>
        </w:rPr>
        <w:t xml:space="preserve">. (2009) </w:t>
      </w:r>
      <w:r w:rsidRPr="00086139">
        <w:rPr>
          <w:color w:val="000000"/>
          <w:lang w:val="en-GB"/>
        </w:rPr>
        <w:t xml:space="preserve">High-throughput serum NMR </w:t>
      </w:r>
      <w:proofErr w:type="spellStart"/>
      <w:r w:rsidRPr="00086139">
        <w:rPr>
          <w:color w:val="000000"/>
          <w:lang w:val="en-GB"/>
        </w:rPr>
        <w:t>metabonomics</w:t>
      </w:r>
      <w:proofErr w:type="spellEnd"/>
      <w:r w:rsidRPr="00086139">
        <w:rPr>
          <w:color w:val="000000"/>
          <w:lang w:val="en-GB"/>
        </w:rPr>
        <w:t xml:space="preserve"> for cost-effective holistic studies on systemic metabolism</w:t>
      </w:r>
      <w:r>
        <w:rPr>
          <w:color w:val="000000"/>
          <w:lang w:val="en-GB"/>
        </w:rPr>
        <w:t>. Analyst 134:1781-1785.</w:t>
      </w:r>
    </w:p>
    <w:p w14:paraId="4B451491" w14:textId="4C5B975E" w:rsidR="00086139" w:rsidRPr="00827FA0" w:rsidRDefault="00086139" w:rsidP="00827FA0">
      <w:pPr>
        <w:pStyle w:val="ListParagraph"/>
        <w:numPr>
          <w:ilvl w:val="0"/>
          <w:numId w:val="1"/>
        </w:numPr>
        <w:rPr>
          <w:rFonts w:cs="Times New Roman"/>
        </w:rPr>
      </w:pPr>
      <w:proofErr w:type="spellStart"/>
      <w:r w:rsidRPr="00086139">
        <w:rPr>
          <w:color w:val="000000"/>
          <w:lang w:val="en-GB"/>
        </w:rPr>
        <w:t>Würtz</w:t>
      </w:r>
      <w:proofErr w:type="spellEnd"/>
      <w:r w:rsidRPr="00086139">
        <w:rPr>
          <w:color w:val="000000"/>
          <w:lang w:val="en-GB"/>
        </w:rPr>
        <w:t xml:space="preserve"> et al, </w:t>
      </w:r>
      <w:r>
        <w:rPr>
          <w:color w:val="000000"/>
          <w:lang w:val="en-GB"/>
        </w:rPr>
        <w:t xml:space="preserve">(2017) </w:t>
      </w:r>
      <w:r w:rsidRPr="00086139">
        <w:rPr>
          <w:color w:val="000000"/>
          <w:lang w:val="en-GB"/>
        </w:rPr>
        <w:t>Quantitative Serum Nuclear Magnetic Resonance Metabolomics in Large-Scale Epidemiology: A Primer on -</w:t>
      </w:r>
      <w:proofErr w:type="spellStart"/>
      <w:r w:rsidRPr="00086139">
        <w:rPr>
          <w:color w:val="000000"/>
          <w:lang w:val="en-GB"/>
        </w:rPr>
        <w:t>Omic</w:t>
      </w:r>
      <w:proofErr w:type="spellEnd"/>
      <w:r w:rsidRPr="00086139">
        <w:rPr>
          <w:color w:val="000000"/>
          <w:lang w:val="en-GB"/>
        </w:rPr>
        <w:t xml:space="preserve"> Technologies</w:t>
      </w:r>
      <w:r>
        <w:rPr>
          <w:color w:val="000000"/>
          <w:lang w:val="en-GB"/>
        </w:rPr>
        <w:t>.</w:t>
      </w:r>
      <w:r w:rsidRPr="00086139">
        <w:rPr>
          <w:color w:val="000000"/>
          <w:lang w:val="en-GB"/>
        </w:rPr>
        <w:t xml:space="preserve"> Am J Epidemiol 2017 186:1084-1096</w:t>
      </w:r>
      <w:r>
        <w:rPr>
          <w:color w:val="000000"/>
          <w:lang w:val="en-GB"/>
        </w:rPr>
        <w:t>.</w:t>
      </w:r>
    </w:p>
    <w:p w14:paraId="2140B4D0" w14:textId="4A655073" w:rsidR="00F92209" w:rsidRPr="00F92209" w:rsidRDefault="00F92209" w:rsidP="00827FA0">
      <w:pPr>
        <w:pStyle w:val="Heading1"/>
      </w:pPr>
      <w:r w:rsidRPr="00F92209">
        <w:t>About the Authors</w:t>
      </w:r>
    </w:p>
    <w:p w14:paraId="3CF9FFE6" w14:textId="691EDEFB" w:rsidR="001833D3" w:rsidRDefault="00F92209" w:rsidP="00ED44CB">
      <w:pPr>
        <w:rPr>
          <w:rFonts w:cs="Times New Roman"/>
        </w:rPr>
      </w:pPr>
      <w:r>
        <w:rPr>
          <w:rFonts w:cs="Times New Roman"/>
        </w:rPr>
        <w:t xml:space="preserve">This document was </w:t>
      </w:r>
      <w:r w:rsidR="00C26E82">
        <w:rPr>
          <w:rFonts w:cs="Times New Roman"/>
        </w:rPr>
        <w:t>prepared</w:t>
      </w:r>
      <w:r>
        <w:rPr>
          <w:rFonts w:cs="Times New Roman"/>
        </w:rPr>
        <w:t xml:space="preserve"> by</w:t>
      </w:r>
      <w:r w:rsidR="00C26E82">
        <w:rPr>
          <w:rFonts w:cs="Times New Roman"/>
        </w:rPr>
        <w:t xml:space="preserve"> </w:t>
      </w:r>
      <w:r w:rsidR="00086139">
        <w:rPr>
          <w:rFonts w:cs="Times New Roman"/>
        </w:rPr>
        <w:t xml:space="preserve">Paulus Artimo. </w:t>
      </w:r>
      <w:r>
        <w:rPr>
          <w:rFonts w:cs="Times New Roman"/>
        </w:rPr>
        <w:t xml:space="preserve">For more information please contact </w:t>
      </w:r>
      <w:r w:rsidR="009E757F">
        <w:rPr>
          <w:rFonts w:cs="Times New Roman"/>
        </w:rPr>
        <w:t xml:space="preserve">Nightingale Health Ltd. </w:t>
      </w:r>
      <w:r w:rsidR="001833D3">
        <w:rPr>
          <w:rFonts w:cs="Times New Roman"/>
        </w:rPr>
        <w:t>at +358 20 730 1810</w:t>
      </w:r>
      <w:r w:rsidR="00086139">
        <w:rPr>
          <w:rFonts w:cs="Times New Roman"/>
          <w:b/>
        </w:rPr>
        <w:t xml:space="preserve"> </w:t>
      </w:r>
      <w:r>
        <w:rPr>
          <w:rFonts w:cs="Times New Roman"/>
        </w:rPr>
        <w:t>or by email</w:t>
      </w:r>
      <w:r w:rsidR="00086139">
        <w:rPr>
          <w:rFonts w:cs="Times New Roman"/>
        </w:rPr>
        <w:t xml:space="preserve"> at</w:t>
      </w:r>
      <w:r w:rsidR="001833D3">
        <w:rPr>
          <w:rFonts w:cs="Times New Roman"/>
        </w:rPr>
        <w:t xml:space="preserve"> </w:t>
      </w:r>
      <w:hyperlink r:id="rId8" w:history="1">
        <w:r w:rsidR="001833D3" w:rsidRPr="001833D3">
          <w:rPr>
            <w:rStyle w:val="Hyperlink"/>
            <w:rFonts w:cs="Times New Roman"/>
          </w:rPr>
          <w:t>contact</w:t>
        </w:r>
      </w:hyperlink>
      <w:r w:rsidR="001833D3">
        <w:rPr>
          <w:rFonts w:cs="Times New Roman"/>
        </w:rPr>
        <w:t>@nightingalehealth.com.</w:t>
      </w:r>
    </w:p>
    <w:p w14:paraId="4EB69F1C" w14:textId="3487133E" w:rsidR="00830CCD" w:rsidRDefault="00086139" w:rsidP="00ED44CB">
      <w:r>
        <w:rPr>
          <w:rFonts w:cs="Times New Roman"/>
        </w:rPr>
        <w:t xml:space="preserve"> </w:t>
      </w:r>
    </w:p>
    <w:p w14:paraId="3BFA1EAC" w14:textId="77777777" w:rsidR="00830CCD" w:rsidRDefault="00830CCD" w:rsidP="00ED44CB">
      <w:pPr>
        <w:rPr>
          <w:i/>
          <w:sz w:val="20"/>
          <w:szCs w:val="20"/>
        </w:rPr>
      </w:pPr>
    </w:p>
    <w:p w14:paraId="74BB16AA" w14:textId="05778C06" w:rsidR="00B92B45" w:rsidRPr="00830CCD" w:rsidRDefault="00830CCD" w:rsidP="00ED44CB">
      <w:pPr>
        <w:rPr>
          <w:rFonts w:cs="Times New Roman"/>
          <w:i/>
          <w:sz w:val="20"/>
          <w:szCs w:val="20"/>
        </w:rPr>
      </w:pPr>
      <w:r>
        <w:rPr>
          <w:i/>
          <w:sz w:val="20"/>
          <w:szCs w:val="20"/>
        </w:rPr>
        <w:lastRenderedPageBreak/>
        <w:t xml:space="preserve">Notice: </w:t>
      </w:r>
      <w:r w:rsidRPr="00830CCD">
        <w:rPr>
          <w:i/>
          <w:sz w:val="20"/>
          <w:szCs w:val="20"/>
        </w:rPr>
        <w:t>This document is presented by the author(s) as a service to ADNI data users.  However, users should be aware that no formal review process has vetted this document and that ADNI cannot guarantee the accuracy or utility of this document.</w:t>
      </w:r>
    </w:p>
    <w:sectPr w:rsidR="00B92B45" w:rsidRPr="00830CCD" w:rsidSect="00F9220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CBCD8" w14:textId="77777777" w:rsidR="00DC2E15" w:rsidRDefault="00DC2E15" w:rsidP="004D61C4">
      <w:r>
        <w:separator/>
      </w:r>
    </w:p>
  </w:endnote>
  <w:endnote w:type="continuationSeparator" w:id="0">
    <w:p w14:paraId="1B19C5C2" w14:textId="77777777" w:rsidR="00DC2E15" w:rsidRDefault="00DC2E15" w:rsidP="004D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61111" w14:textId="77777777" w:rsidR="00205A0B" w:rsidRDefault="007A5892">
    <w:pPr>
      <w:pStyle w:val="Footer"/>
    </w:pPr>
    <w:sdt>
      <w:sdtPr>
        <w:id w:val="969400743"/>
        <w:placeholder>
          <w:docPart w:val="D0585D86E2478D42ADED16475E6986ED"/>
        </w:placeholder>
        <w:temporary/>
        <w:showingPlcHdr/>
      </w:sdtPr>
      <w:sdtEndPr/>
      <w:sdtContent>
        <w:r w:rsidR="00205A0B">
          <w:t>[Type text]</w:t>
        </w:r>
      </w:sdtContent>
    </w:sdt>
    <w:r w:rsidR="00205A0B">
      <w:ptab w:relativeTo="margin" w:alignment="center" w:leader="none"/>
    </w:r>
    <w:sdt>
      <w:sdtPr>
        <w:id w:val="969400748"/>
        <w:placeholder>
          <w:docPart w:val="6D021546CEC79C4793BF48F1FFF0AACA"/>
        </w:placeholder>
        <w:temporary/>
        <w:showingPlcHdr/>
      </w:sdtPr>
      <w:sdtEndPr/>
      <w:sdtContent>
        <w:r w:rsidR="00205A0B">
          <w:t>[Type text]</w:t>
        </w:r>
      </w:sdtContent>
    </w:sdt>
    <w:r w:rsidR="00205A0B">
      <w:ptab w:relativeTo="margin" w:alignment="right" w:leader="none"/>
    </w:r>
    <w:sdt>
      <w:sdtPr>
        <w:id w:val="969400753"/>
        <w:placeholder>
          <w:docPart w:val="AE203B6D99E1CF4190ED3EAFC49411D6"/>
        </w:placeholder>
        <w:temporary/>
        <w:showingPlcHdr/>
      </w:sdtPr>
      <w:sdtEndPr/>
      <w:sdtContent>
        <w:r w:rsidR="00205A0B">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3026" w14:textId="77777777" w:rsidR="00205A0B" w:rsidRPr="00EC0E2D" w:rsidRDefault="00205A0B" w:rsidP="004D61C4">
    <w:pPr>
      <w:jc w:val="right"/>
      <w:rPr>
        <w:rFonts w:ascii="Arial" w:hAnsi="Arial" w:cs="Arial"/>
        <w:color w:val="808080" w:themeColor="background1" w:themeShade="80"/>
        <w:sz w:val="20"/>
        <w:szCs w:val="20"/>
      </w:rPr>
    </w:pPr>
    <w:r w:rsidRPr="00EC0E2D">
      <w:rPr>
        <w:rFonts w:ascii="Arial" w:hAnsi="Arial" w:cs="Arial"/>
        <w:color w:val="808080" w:themeColor="background1" w:themeShade="80"/>
        <w:sz w:val="20"/>
        <w:szCs w:val="20"/>
      </w:rPr>
      <w:t>Rev Jan 31 2011</w:t>
    </w:r>
  </w:p>
  <w:p w14:paraId="2FFED655" w14:textId="77777777" w:rsidR="00205A0B" w:rsidRDefault="00205A0B">
    <w:pPr>
      <w:pStyle w:val="Footer"/>
    </w:pPr>
    <w:r>
      <w:ptab w:relativeTo="margin" w:alignment="right" w:leader="none"/>
    </w:r>
    <w:r w:rsidRPr="004D61C4">
      <w:rPr>
        <w:noProof/>
      </w:rPr>
      <w:t xml:space="preserve"> </w:t>
    </w:r>
    <w:r>
      <w:rPr>
        <w:noProof/>
      </w:rPr>
      <w:drawing>
        <wp:inline distT="0" distB="0" distL="0" distR="0" wp14:anchorId="0A4C677E" wp14:editId="302AFB74">
          <wp:extent cx="1371600" cy="228600"/>
          <wp:effectExtent l="0" t="0" r="0" b="0"/>
          <wp:docPr id="7" name="Picture 7" descr="Warhol HD:Users:blee:Desktop:ADN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hol HD:Users:blee:Desktop:ADN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2DA5" w14:textId="77777777" w:rsidR="00205A0B" w:rsidRDefault="0020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6A2C" w14:textId="77777777" w:rsidR="00DC2E15" w:rsidRDefault="00DC2E15" w:rsidP="004D61C4">
      <w:r>
        <w:separator/>
      </w:r>
    </w:p>
  </w:footnote>
  <w:footnote w:type="continuationSeparator" w:id="0">
    <w:p w14:paraId="2BDD1F03" w14:textId="77777777" w:rsidR="00DC2E15" w:rsidRDefault="00DC2E15" w:rsidP="004D6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507FF" w14:textId="77777777" w:rsidR="00205A0B" w:rsidRDefault="00205A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7490" w14:textId="77777777" w:rsidR="00205A0B" w:rsidRPr="004D61C4" w:rsidRDefault="00205A0B" w:rsidP="004D61C4">
    <w:pPr>
      <w:pStyle w:val="Header"/>
      <w:rPr>
        <w:rFonts w:ascii="Arial" w:hAnsi="Arial" w:cs="Arial"/>
      </w:rPr>
    </w:pPr>
    <w:r>
      <w:rPr>
        <w:noProof/>
      </w:rPr>
      <w:drawing>
        <wp:inline distT="0" distB="0" distL="0" distR="0" wp14:anchorId="3484593D" wp14:editId="546037E0">
          <wp:extent cx="3619500" cy="685800"/>
          <wp:effectExtent l="0" t="0" r="12700" b="0"/>
          <wp:docPr id="6" name="Picture 6"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1F4E0" w14:textId="77777777" w:rsidR="00205A0B" w:rsidRDefault="00205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4061E"/>
    <w:multiLevelType w:val="hybridMultilevel"/>
    <w:tmpl w:val="53EE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4D4EAE"/>
    <w:multiLevelType w:val="hybridMultilevel"/>
    <w:tmpl w:val="53EE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1470B"/>
    <w:multiLevelType w:val="hybridMultilevel"/>
    <w:tmpl w:val="8E04D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4241C"/>
    <w:multiLevelType w:val="hybridMultilevel"/>
    <w:tmpl w:val="056C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87"/>
    <w:rsid w:val="00060473"/>
    <w:rsid w:val="00086139"/>
    <w:rsid w:val="00134D7F"/>
    <w:rsid w:val="00160C92"/>
    <w:rsid w:val="001833D3"/>
    <w:rsid w:val="001F2781"/>
    <w:rsid w:val="00205A0B"/>
    <w:rsid w:val="002C1F32"/>
    <w:rsid w:val="002D7AC8"/>
    <w:rsid w:val="002F58C6"/>
    <w:rsid w:val="002F686D"/>
    <w:rsid w:val="00347FC2"/>
    <w:rsid w:val="003D4CFE"/>
    <w:rsid w:val="003D5124"/>
    <w:rsid w:val="00416BB5"/>
    <w:rsid w:val="00457EEA"/>
    <w:rsid w:val="004D61C4"/>
    <w:rsid w:val="0051436D"/>
    <w:rsid w:val="00522BFA"/>
    <w:rsid w:val="00573266"/>
    <w:rsid w:val="00584915"/>
    <w:rsid w:val="005F0248"/>
    <w:rsid w:val="006057B9"/>
    <w:rsid w:val="00616B22"/>
    <w:rsid w:val="006513E4"/>
    <w:rsid w:val="00695B97"/>
    <w:rsid w:val="007039D8"/>
    <w:rsid w:val="007A5892"/>
    <w:rsid w:val="007D30EA"/>
    <w:rsid w:val="008160C8"/>
    <w:rsid w:val="00827FA0"/>
    <w:rsid w:val="00830CCD"/>
    <w:rsid w:val="008E0478"/>
    <w:rsid w:val="008F7CD9"/>
    <w:rsid w:val="00927980"/>
    <w:rsid w:val="009B1FDA"/>
    <w:rsid w:val="009E757F"/>
    <w:rsid w:val="00A32BB1"/>
    <w:rsid w:val="00B01C85"/>
    <w:rsid w:val="00B2543E"/>
    <w:rsid w:val="00B33B4F"/>
    <w:rsid w:val="00B41812"/>
    <w:rsid w:val="00B92B45"/>
    <w:rsid w:val="00B97195"/>
    <w:rsid w:val="00C26E82"/>
    <w:rsid w:val="00C40B94"/>
    <w:rsid w:val="00C501AD"/>
    <w:rsid w:val="00CF5D9B"/>
    <w:rsid w:val="00D02096"/>
    <w:rsid w:val="00D112BF"/>
    <w:rsid w:val="00DB7B15"/>
    <w:rsid w:val="00DC2E15"/>
    <w:rsid w:val="00DD51FA"/>
    <w:rsid w:val="00DF0718"/>
    <w:rsid w:val="00DF4CCD"/>
    <w:rsid w:val="00E066A7"/>
    <w:rsid w:val="00E14008"/>
    <w:rsid w:val="00E201F2"/>
    <w:rsid w:val="00E32220"/>
    <w:rsid w:val="00E53291"/>
    <w:rsid w:val="00EC0E2D"/>
    <w:rsid w:val="00EC5994"/>
    <w:rsid w:val="00ED44CB"/>
    <w:rsid w:val="00F45483"/>
    <w:rsid w:val="00F5128B"/>
    <w:rsid w:val="00F92209"/>
    <w:rsid w:val="00FD0387"/>
    <w:rsid w:val="00FF52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C861F"/>
  <w15:docId w15:val="{8390C376-08FD-4416-B412-E8E6A663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eastAsiaTheme="majorEastAsia" w:hAnsi="Arial"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customStyle="1" w:styleId="HeaderChar">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customStyle="1" w:styleId="FooterChar">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customStyle="1" w:styleId="TitleChar">
    <w:name w:val="Title Char"/>
    <w:basedOn w:val="DefaultParagraphFont"/>
    <w:link w:val="Title"/>
    <w:uiPriority w:val="10"/>
    <w:rsid w:val="00827FA0"/>
    <w:rPr>
      <w:rFonts w:ascii="Times New Roman" w:eastAsiaTheme="majorEastAsia" w:hAnsi="Times New Roman" w:cstheme="majorBidi"/>
      <w:b/>
      <w:color w:val="595959" w:themeColor="text1" w:themeTint="A6"/>
      <w:spacing w:val="5"/>
      <w:kern w:val="28"/>
      <w:sz w:val="36"/>
      <w:szCs w:val="52"/>
    </w:rPr>
  </w:style>
  <w:style w:type="character" w:customStyle="1" w:styleId="Heading1Char">
    <w:name w:val="Heading 1 Char"/>
    <w:basedOn w:val="DefaultParagraphFont"/>
    <w:link w:val="Heading1"/>
    <w:uiPriority w:val="9"/>
    <w:rsid w:val="00827FA0"/>
    <w:rPr>
      <w:rFonts w:ascii="Times New Roman" w:eastAsiaTheme="majorEastAsia" w:hAnsi="Times New Roman" w:cstheme="majorBidi"/>
      <w:b/>
      <w:bCs/>
      <w:sz w:val="28"/>
      <w:szCs w:val="32"/>
    </w:rPr>
  </w:style>
  <w:style w:type="character" w:customStyle="1" w:styleId="apple-style-span">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827FA0"/>
    <w:rPr>
      <w:rFonts w:ascii="Times New Roman" w:eastAsiaTheme="majorEastAsia" w:hAnsi="Times New Roman" w:cstheme="majorBidi"/>
      <w:iCs/>
      <w:spacing w:val="15"/>
      <w:sz w:val="28"/>
    </w:rPr>
  </w:style>
  <w:style w:type="character" w:customStyle="1" w:styleId="Heading2Char">
    <w:name w:val="Heading 2 Char"/>
    <w:basedOn w:val="DefaultParagraphFont"/>
    <w:link w:val="Heading2"/>
    <w:uiPriority w:val="9"/>
    <w:rsid w:val="00827FA0"/>
    <w:rPr>
      <w:rFonts w:ascii="Times New Roman" w:eastAsiaTheme="majorEastAsia" w:hAnsi="Times New Roman" w:cstheme="majorBidi"/>
      <w:b/>
      <w:bCs/>
      <w:i/>
      <w:color w:val="595959" w:themeColor="text1" w:themeTint="A6"/>
      <w:szCs w:val="26"/>
    </w:rPr>
  </w:style>
  <w:style w:type="character" w:customStyle="1" w:styleId="Heading3Char">
    <w:name w:val="Heading 3 Char"/>
    <w:basedOn w:val="DefaultParagraphFont"/>
    <w:link w:val="Heading3"/>
    <w:uiPriority w:val="9"/>
    <w:rsid w:val="00827FA0"/>
    <w:rPr>
      <w:rFonts w:ascii="Arial" w:eastAsiaTheme="majorEastAsia" w:hAnsi="Arial"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character" w:styleId="SubtleEmphasis">
    <w:name w:val="Subtle Emphasis"/>
    <w:basedOn w:val="DefaultParagraphFont"/>
    <w:uiPriority w:val="19"/>
    <w:qFormat/>
    <w:rsid w:val="00205A0B"/>
    <w:rPr>
      <w:i/>
      <w:iCs/>
      <w:color w:val="808080" w:themeColor="text1" w:themeTint="7F"/>
    </w:rPr>
  </w:style>
  <w:style w:type="character" w:customStyle="1" w:styleId="apple-converted-space">
    <w:name w:val="apple-converted-space"/>
    <w:basedOn w:val="DefaultParagraphFont"/>
    <w:rsid w:val="00086139"/>
  </w:style>
  <w:style w:type="character" w:customStyle="1" w:styleId="f1000-at-ignore">
    <w:name w:val="f1000-at-ignore"/>
    <w:basedOn w:val="DefaultParagraphFont"/>
    <w:rsid w:val="00086139"/>
  </w:style>
  <w:style w:type="character" w:customStyle="1" w:styleId="UnresolvedMention">
    <w:name w:val="Unresolved Mention"/>
    <w:basedOn w:val="DefaultParagraphFont"/>
    <w:uiPriority w:val="99"/>
    <w:semiHidden/>
    <w:unhideWhenUsed/>
    <w:rsid w:val="00183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911066">
      <w:bodyDiv w:val="1"/>
      <w:marLeft w:val="0"/>
      <w:marRight w:val="0"/>
      <w:marTop w:val="0"/>
      <w:marBottom w:val="0"/>
      <w:divBdr>
        <w:top w:val="none" w:sz="0" w:space="0" w:color="auto"/>
        <w:left w:val="none" w:sz="0" w:space="0" w:color="auto"/>
        <w:bottom w:val="none" w:sz="0" w:space="0" w:color="auto"/>
        <w:right w:val="none" w:sz="0" w:space="0" w:color="auto"/>
      </w:divBdr>
    </w:div>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ightingalehealth.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AC"/>
    <w:rsid w:val="00146F5B"/>
    <w:rsid w:val="00263E20"/>
    <w:rsid w:val="00452FF4"/>
    <w:rsid w:val="008625AC"/>
    <w:rsid w:val="00CE7CE1"/>
    <w:rsid w:val="00E1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 w:type="paragraph" w:customStyle="1" w:styleId="957E2EF100996A46AB1B50779C9B2552">
    <w:name w:val="957E2EF100996A46AB1B50779C9B2552"/>
    <w:rsid w:val="008625AC"/>
  </w:style>
  <w:style w:type="paragraph" w:customStyle="1" w:styleId="BF177DFB82BE4F48B654FA43C39B68FF">
    <w:name w:val="BF177DFB82BE4F48B654FA43C39B68FF"/>
    <w:rsid w:val="008625AC"/>
  </w:style>
  <w:style w:type="paragraph" w:customStyle="1" w:styleId="AAB0B5B1325DCC4DB02EF637F1019CC4">
    <w:name w:val="AAB0B5B1325DCC4DB02EF637F1019CC4"/>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313CD-F9E1-4806-B032-EA3DDC50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ADNI Methods Template</vt:lpstr>
    </vt:vector>
  </TitlesOfParts>
  <Manager/>
  <Company/>
  <LinksUpToDate>false</LinksUpToDate>
  <CharactersWithSpaces>4507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ADNI Methods Template</dc:title>
  <dc:subject/>
  <dc:creator>Laboratory of Neuro Imaging, UCLA</dc:creator>
  <cp:keywords/>
  <dc:description/>
  <cp:lastModifiedBy>Colette Blach</cp:lastModifiedBy>
  <cp:revision>14</cp:revision>
  <dcterms:created xsi:type="dcterms:W3CDTF">2018-07-17T12:18:00Z</dcterms:created>
  <dcterms:modified xsi:type="dcterms:W3CDTF">2018-07-17T14:28:00Z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430824</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