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C431B" w14:textId="5D24D5AC" w:rsidR="006C1FE2" w:rsidRPr="005D1287" w:rsidRDefault="007B0FB5" w:rsidP="006C1FE2">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7DF6CCB7" w14:textId="65104700" w:rsidR="006C1FE2" w:rsidRPr="005D1287" w:rsidRDefault="007B0FB5" w:rsidP="00A346D5">
      <w:pPr>
        <w:rPr>
          <w:color w:val="2F5496" w:themeColor="accent1" w:themeShade="BF"/>
        </w:rPr>
      </w:pPr>
      <w:r w:rsidRPr="005D1287">
        <w:rPr>
          <w:color w:val="2F5496" w:themeColor="accent1" w:themeShade="BF"/>
        </w:rPr>
        <w:t xml:space="preserve">    </w:t>
      </w:r>
      <w:r w:rsidR="006C1FE2" w:rsidRPr="005D1287">
        <w:rPr>
          <w:color w:val="2F5496" w:themeColor="accent1" w:themeShade="BF"/>
        </w:rPr>
        <w:t xml:space="preserve">Did Joe's sons become slaves to the digging? No, they were inspired because they had visions of what money could do for them and did not focus on the money itself.  　</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A346D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2021-02-03T06:50:00Z</dcterms:modified>
</cp:coreProperties>
</file>