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CA61A">
      <w:pPr>
        <w:spacing w:line="360" w:lineRule="auto"/>
        <w:jc w:val="center"/>
        <w:rPr>
          <w:rFonts w:ascii="Times New Roman" w:hAnsi="Times New Roman" w:eastAsia="宋体" w:cs="Times New Roman"/>
          <w:b/>
          <w:bCs/>
          <w:sz w:val="72"/>
          <w:szCs w:val="72"/>
        </w:rPr>
      </w:pPr>
      <w:bookmarkStart w:id="0" w:name="_Toc25871"/>
      <w:bookmarkStart w:id="1" w:name="_Toc14918"/>
      <w:r>
        <w:rPr>
          <w:rFonts w:hint="eastAsia" w:ascii="华文行楷" w:hAnsi="Times New Roman" w:eastAsia="华文行楷" w:cs="Times New Roman"/>
          <w:b/>
          <w:bCs/>
          <w:sz w:val="72"/>
          <w:szCs w:val="72"/>
        </w:rPr>
        <w:t>电子科技大学</w:t>
      </w:r>
      <w:r>
        <w:rPr>
          <w:rFonts w:hint="eastAsia" w:ascii="黑体" w:hAnsi="Times New Roman" w:eastAsia="黑体" w:cs="Times New Roman"/>
          <w:b/>
          <w:bCs/>
          <w:sz w:val="72"/>
          <w:szCs w:val="72"/>
        </w:rPr>
        <w:t>成都学院</w:t>
      </w:r>
    </w:p>
    <w:p w14:paraId="203093BF">
      <w:pPr>
        <w:spacing w:line="360" w:lineRule="auto"/>
        <w:jc w:val="center"/>
        <w:rPr>
          <w:rFonts w:ascii="宋体" w:hAnsi="宋体" w:eastAsia="宋体" w:cs="Times New Roman"/>
          <w:b/>
          <w:bCs/>
          <w:sz w:val="72"/>
          <w:szCs w:val="72"/>
        </w:rPr>
      </w:pPr>
      <w:r>
        <w:rPr>
          <w:rFonts w:hint="eastAsia" w:ascii="宋体" w:hAnsi="宋体" w:eastAsia="宋体" w:cs="Times New Roman"/>
          <w:b/>
          <w:bCs/>
          <w:sz w:val="72"/>
          <w:szCs w:val="72"/>
        </w:rPr>
        <w:t>毕 业 论 文</w:t>
      </w:r>
    </w:p>
    <w:p w14:paraId="1E83988B">
      <w:pPr>
        <w:rPr>
          <w:rFonts w:ascii="宋体" w:hAnsi="宋体" w:eastAsia="宋体" w:cs="Times New Roman"/>
          <w:b/>
          <w:sz w:val="44"/>
          <w:szCs w:val="44"/>
        </w:rPr>
      </w:pPr>
    </w:p>
    <w:p w14:paraId="3BFBF898">
      <w:pPr>
        <w:spacing w:before="312" w:beforeLines="100" w:after="312" w:afterLines="100" w:line="480" w:lineRule="auto"/>
        <w:ind w:left="720" w:leftChars="0" w:firstLine="720" w:firstLineChars="0"/>
        <w:jc w:val="both"/>
        <w:rPr>
          <w:rFonts w:ascii="宋体" w:hAnsi="宋体" w:eastAsia="宋体" w:cs="Times New Roman"/>
          <w:sz w:val="32"/>
          <w:szCs w:val="32"/>
          <w:u w:val="single"/>
        </w:rPr>
      </w:pPr>
      <w:r>
        <w:rPr>
          <w:rFonts w:hint="eastAsia" w:ascii="黑体" w:hAnsi="宋体" w:eastAsia="黑体" w:cs="Times New Roman"/>
          <w:sz w:val="36"/>
          <w:szCs w:val="36"/>
        </w:rPr>
        <w:t>论文题目</w:t>
      </w:r>
      <w:r>
        <w:rPr>
          <w:rFonts w:hint="eastAsia" w:ascii="宋体" w:hAnsi="宋体" w:eastAsia="宋体" w:cs="Times New Roman"/>
          <w:sz w:val="32"/>
          <w:szCs w:val="32"/>
          <w:u w:val="single"/>
        </w:rPr>
        <w:t xml:space="preserve">   中国对俄罗斯农产品出口前景分析</w:t>
      </w:r>
    </w:p>
    <w:p w14:paraId="60A7CC94">
      <w:pPr>
        <w:spacing w:before="312" w:beforeLines="100" w:after="312" w:afterLines="100" w:line="480" w:lineRule="auto"/>
        <w:ind w:firstLine="1440" w:firstLineChars="400"/>
        <w:jc w:val="both"/>
        <w:rPr>
          <w:rFonts w:ascii="宋体" w:hAnsi="宋体" w:eastAsia="宋体" w:cs="Times New Roman"/>
          <w:sz w:val="32"/>
          <w:szCs w:val="32"/>
          <w:u w:val="single"/>
        </w:rPr>
      </w:pPr>
      <w:r>
        <w:rPr>
          <w:rFonts w:hint="eastAsia" w:ascii="黑体" w:hAnsi="宋体" w:eastAsia="黑体" w:cs="Times New Roman"/>
          <w:sz w:val="36"/>
          <w:szCs w:val="36"/>
        </w:rPr>
        <w:t xml:space="preserve">学生姓名 </w:t>
      </w:r>
      <w:r>
        <w:rPr>
          <w:rFonts w:hint="eastAsia" w:ascii="宋体" w:hAnsi="宋体" w:eastAsia="宋体" w:cs="Times New Roman"/>
          <w:sz w:val="32"/>
          <w:szCs w:val="32"/>
          <w:u w:val="single"/>
        </w:rPr>
        <w:t xml:space="preserve">         </w:t>
      </w:r>
      <w:r>
        <w:rPr>
          <w:rFonts w:hint="eastAsia" w:ascii="宋体" w:hAnsi="宋体" w:eastAsia="宋体" w:cs="Times New Roman"/>
          <w:sz w:val="32"/>
          <w:szCs w:val="32"/>
          <w:u w:val="single"/>
          <w:lang w:val="en-US" w:eastAsia="zh-CN"/>
        </w:rPr>
        <w:t xml:space="preserve">   夏诗博</w:t>
      </w:r>
    </w:p>
    <w:p w14:paraId="1B6A50F1">
      <w:pPr>
        <w:spacing w:before="312" w:beforeLines="100" w:after="312" w:afterLines="100" w:line="480" w:lineRule="auto"/>
        <w:ind w:firstLine="1440" w:firstLineChars="400"/>
        <w:jc w:val="both"/>
        <w:rPr>
          <w:rFonts w:ascii="宋体" w:hAnsi="宋体" w:eastAsia="宋体" w:cs="Times New Roman"/>
          <w:sz w:val="32"/>
          <w:szCs w:val="32"/>
          <w:u w:val="single"/>
        </w:rPr>
      </w:pPr>
      <w:r>
        <w:rPr>
          <w:rFonts w:hint="eastAsia" w:ascii="黑体" w:hAnsi="宋体" w:eastAsia="黑体" w:cs="Times New Roman"/>
          <w:sz w:val="36"/>
          <w:szCs w:val="36"/>
        </w:rPr>
        <w:t xml:space="preserve">学    号 </w:t>
      </w:r>
      <w:r>
        <w:rPr>
          <w:rFonts w:hint="eastAsia" w:ascii="宋体" w:hAnsi="宋体" w:eastAsia="宋体" w:cs="Times New Roman"/>
          <w:sz w:val="32"/>
          <w:szCs w:val="32"/>
          <w:u w:val="single"/>
        </w:rPr>
        <w:t xml:space="preserve">    </w:t>
      </w:r>
      <w:r>
        <w:rPr>
          <w:rFonts w:ascii="宋体" w:hAnsi="宋体" w:eastAsia="宋体" w:cs="Times New Roman"/>
          <w:sz w:val="32"/>
          <w:szCs w:val="32"/>
          <w:u w:val="single"/>
        </w:rPr>
        <w:t xml:space="preserve"> </w:t>
      </w:r>
      <w:r>
        <w:rPr>
          <w:rFonts w:hint="eastAsia" w:ascii="宋体" w:hAnsi="宋体" w:eastAsia="宋体" w:cs="Times New Roman"/>
          <w:sz w:val="32"/>
          <w:szCs w:val="32"/>
          <w:u w:val="single"/>
        </w:rPr>
        <w:t xml:space="preserve"> </w:t>
      </w:r>
      <w:r>
        <w:rPr>
          <w:rFonts w:ascii="宋体" w:hAnsi="宋体" w:eastAsia="宋体" w:cs="Times New Roman"/>
          <w:sz w:val="32"/>
          <w:szCs w:val="32"/>
          <w:u w:val="single"/>
        </w:rPr>
        <w:t xml:space="preserve"> </w:t>
      </w:r>
      <w:r>
        <w:rPr>
          <w:rFonts w:hint="eastAsia" w:ascii="宋体" w:hAnsi="宋体" w:eastAsia="宋体" w:cs="Times New Roman"/>
          <w:sz w:val="32"/>
          <w:szCs w:val="32"/>
          <w:u w:val="single"/>
        </w:rPr>
        <w:t>2021403010221</w:t>
      </w:r>
    </w:p>
    <w:p w14:paraId="5A9E1630">
      <w:pPr>
        <w:spacing w:before="312" w:beforeLines="100" w:after="312" w:afterLines="100" w:line="480" w:lineRule="auto"/>
        <w:ind w:firstLine="1440" w:firstLineChars="400"/>
        <w:jc w:val="both"/>
        <w:rPr>
          <w:rFonts w:ascii="宋体" w:hAnsi="宋体" w:eastAsia="宋体" w:cs="Times New Roman"/>
          <w:sz w:val="32"/>
          <w:szCs w:val="32"/>
          <w:u w:val="single"/>
        </w:rPr>
      </w:pPr>
      <w:r>
        <w:rPr>
          <w:rFonts w:hint="eastAsia" w:ascii="黑体" w:hAnsi="宋体" w:eastAsia="黑体" w:cs="Times New Roman"/>
          <w:sz w:val="36"/>
          <w:szCs w:val="36"/>
        </w:rPr>
        <w:t xml:space="preserve">专　　业 </w:t>
      </w:r>
      <w:r>
        <w:rPr>
          <w:rFonts w:hint="eastAsia" w:ascii="宋体" w:hAnsi="宋体" w:eastAsia="宋体" w:cs="Times New Roman"/>
          <w:sz w:val="32"/>
          <w:szCs w:val="32"/>
          <w:u w:val="single"/>
        </w:rPr>
        <w:t xml:space="preserve">     </w:t>
      </w:r>
      <w:r>
        <w:rPr>
          <w:rFonts w:ascii="宋体" w:hAnsi="宋体" w:eastAsia="宋体" w:cs="Times New Roman"/>
          <w:sz w:val="32"/>
          <w:szCs w:val="32"/>
          <w:u w:val="single"/>
        </w:rPr>
        <w:t xml:space="preserve"> </w:t>
      </w:r>
      <w:r>
        <w:rPr>
          <w:rFonts w:hint="eastAsia" w:ascii="宋体" w:hAnsi="宋体" w:eastAsia="宋体" w:cs="Times New Roman"/>
          <w:sz w:val="32"/>
          <w:szCs w:val="32"/>
          <w:u w:val="single"/>
        </w:rPr>
        <w:t xml:space="preserve">  国际经济与贸易</w:t>
      </w:r>
    </w:p>
    <w:p w14:paraId="4BCE41E3">
      <w:pPr>
        <w:spacing w:before="312" w:beforeLines="100" w:after="312" w:afterLines="100" w:line="480" w:lineRule="auto"/>
        <w:ind w:firstLine="1440" w:firstLineChars="400"/>
        <w:jc w:val="both"/>
        <w:rPr>
          <w:rFonts w:ascii="黑体" w:hAnsi="宋体" w:eastAsia="黑体" w:cs="Times New Roman"/>
          <w:sz w:val="36"/>
          <w:szCs w:val="36"/>
          <w:u w:val="single"/>
        </w:rPr>
      </w:pPr>
      <w:r>
        <w:rPr>
          <w:rFonts w:hint="eastAsia" w:ascii="黑体" w:hAnsi="宋体" w:eastAsia="黑体" w:cs="Times New Roman"/>
          <w:sz w:val="36"/>
          <w:szCs w:val="36"/>
        </w:rPr>
        <w:t xml:space="preserve">分    院 </w:t>
      </w:r>
      <w:r>
        <w:rPr>
          <w:rFonts w:hint="eastAsia" w:ascii="宋体" w:hAnsi="宋体" w:eastAsia="宋体" w:cs="Times New Roman"/>
          <w:sz w:val="32"/>
          <w:szCs w:val="32"/>
          <w:u w:val="single"/>
        </w:rPr>
        <w:t xml:space="preserve">      </w:t>
      </w:r>
      <w:r>
        <w:rPr>
          <w:rFonts w:ascii="宋体" w:hAnsi="宋体" w:eastAsia="宋体" w:cs="Times New Roman"/>
          <w:sz w:val="32"/>
          <w:szCs w:val="32"/>
          <w:u w:val="single"/>
        </w:rPr>
        <w:t xml:space="preserve"> </w:t>
      </w:r>
      <w:r>
        <w:rPr>
          <w:rFonts w:hint="eastAsia" w:ascii="宋体" w:hAnsi="宋体" w:eastAsia="宋体" w:cs="Times New Roman"/>
          <w:sz w:val="32"/>
          <w:szCs w:val="32"/>
          <w:u w:val="single"/>
        </w:rPr>
        <w:t xml:space="preserve"> </w:t>
      </w:r>
      <w:r>
        <w:rPr>
          <w:rFonts w:ascii="宋体" w:hAnsi="宋体" w:eastAsia="宋体" w:cs="Times New Roman"/>
          <w:sz w:val="32"/>
          <w:szCs w:val="32"/>
          <w:u w:val="single"/>
        </w:rPr>
        <w:t xml:space="preserve"> </w:t>
      </w:r>
      <w:r>
        <w:rPr>
          <w:rFonts w:hint="eastAsia" w:ascii="宋体" w:hAnsi="宋体" w:eastAsia="宋体" w:cs="Times New Roman"/>
          <w:sz w:val="32"/>
          <w:szCs w:val="32"/>
          <w:u w:val="single"/>
        </w:rPr>
        <w:t>商学院</w:t>
      </w:r>
    </w:p>
    <w:p w14:paraId="38C97036">
      <w:pPr>
        <w:spacing w:before="312" w:beforeLines="100" w:after="312" w:afterLines="100" w:line="480" w:lineRule="auto"/>
        <w:ind w:firstLine="1440" w:firstLineChars="400"/>
        <w:jc w:val="both"/>
        <w:rPr>
          <w:rFonts w:ascii="宋体" w:hAnsi="宋体" w:eastAsia="宋体" w:cs="Times New Roman"/>
          <w:sz w:val="32"/>
          <w:szCs w:val="32"/>
          <w:u w:val="single"/>
        </w:rPr>
      </w:pPr>
      <w:r>
        <w:rPr>
          <w:rFonts w:hint="eastAsia" w:ascii="黑体" w:hAnsi="宋体" w:eastAsia="黑体" w:cs="Times New Roman"/>
          <w:sz w:val="36"/>
          <w:szCs w:val="36"/>
        </w:rPr>
        <w:t xml:space="preserve">指导教师 </w:t>
      </w:r>
      <w:r>
        <w:rPr>
          <w:rFonts w:hint="eastAsia" w:ascii="宋体" w:hAnsi="宋体" w:eastAsia="宋体" w:cs="Times New Roman"/>
          <w:sz w:val="32"/>
          <w:szCs w:val="32"/>
          <w:u w:val="single"/>
        </w:rPr>
        <w:t xml:space="preserve">         </w:t>
      </w:r>
      <w:r>
        <w:rPr>
          <w:rFonts w:hint="eastAsia" w:ascii="宋体" w:hAnsi="宋体" w:eastAsia="宋体" w:cs="Times New Roman"/>
          <w:sz w:val="32"/>
          <w:szCs w:val="32"/>
          <w:u w:val="single"/>
          <w:lang w:val="en-US" w:eastAsia="zh-CN"/>
        </w:rPr>
        <w:t xml:space="preserve"> 亢智</w:t>
      </w:r>
    </w:p>
    <w:p w14:paraId="239C8B7E">
      <w:pPr>
        <w:spacing w:before="312" w:beforeLines="100" w:after="312" w:afterLines="100" w:line="480" w:lineRule="auto"/>
        <w:ind w:firstLine="1440" w:firstLineChars="400"/>
        <w:jc w:val="both"/>
        <w:rPr>
          <w:rFonts w:ascii="宋体" w:hAnsi="宋体" w:eastAsia="宋体" w:cs="Times New Roman"/>
          <w:sz w:val="32"/>
          <w:szCs w:val="32"/>
          <w:u w:val="single"/>
        </w:rPr>
      </w:pPr>
      <w:r>
        <w:rPr>
          <w:rFonts w:hint="eastAsia" w:ascii="黑体" w:hAnsi="宋体" w:eastAsia="黑体" w:cs="Times New Roman"/>
          <w:sz w:val="36"/>
          <w:szCs w:val="36"/>
        </w:rPr>
        <w:t xml:space="preserve">指导单位 </w:t>
      </w:r>
      <w:r>
        <w:rPr>
          <w:rFonts w:hint="eastAsia" w:ascii="宋体" w:hAnsi="宋体" w:eastAsia="宋体" w:cs="Times New Roman"/>
          <w:sz w:val="32"/>
          <w:szCs w:val="32"/>
          <w:u w:val="single"/>
        </w:rPr>
        <w:t xml:space="preserve">         商学院</w:t>
      </w:r>
    </w:p>
    <w:p w14:paraId="31E15D23">
      <w:pPr>
        <w:spacing w:before="312" w:beforeLines="100" w:after="312" w:afterLines="100"/>
        <w:jc w:val="center"/>
        <w:rPr>
          <w:rFonts w:hint="eastAsia" w:ascii="Times New Roman" w:hAnsi="Times New Roman" w:cs="Times New Roman"/>
          <w:b/>
          <w:bCs/>
          <w:kern w:val="2"/>
          <w:lang w:val="en-US" w:eastAsia="zh-CN"/>
        </w:rPr>
      </w:pPr>
      <w:r>
        <w:rPr>
          <w:rFonts w:hint="eastAsia" w:ascii="宋体" w:hAnsi="宋体" w:eastAsia="宋体" w:cs="Times New Roman"/>
          <w:bCs/>
          <w:sz w:val="28"/>
          <w:szCs w:val="28"/>
        </w:rPr>
        <w:t>2</w:t>
      </w:r>
      <w:r>
        <w:rPr>
          <w:rFonts w:ascii="宋体" w:hAnsi="宋体" w:eastAsia="宋体" w:cs="Times New Roman"/>
          <w:bCs/>
          <w:sz w:val="28"/>
          <w:szCs w:val="28"/>
        </w:rPr>
        <w:t>02</w:t>
      </w:r>
      <w:r>
        <w:rPr>
          <w:rFonts w:hint="eastAsia" w:ascii="宋体" w:hAnsi="宋体" w:eastAsia="宋体" w:cs="Times New Roman"/>
          <w:bCs/>
          <w:sz w:val="28"/>
          <w:szCs w:val="28"/>
          <w:lang w:val="en-US" w:eastAsia="zh-CN"/>
        </w:rPr>
        <w:t>4</w:t>
      </w:r>
      <w:r>
        <w:rPr>
          <w:rFonts w:hint="eastAsia" w:ascii="宋体" w:hAnsi="宋体" w:eastAsia="宋体" w:cs="Times New Roman"/>
          <w:bCs/>
          <w:sz w:val="28"/>
          <w:szCs w:val="28"/>
        </w:rPr>
        <w:t>年5月制</w:t>
      </w:r>
    </w:p>
    <w:p w14:paraId="6A5A9835">
      <w:pPr>
        <w:pStyle w:val="21"/>
        <w:widowControl w:val="0"/>
        <w:rPr>
          <w:rFonts w:hint="eastAsia" w:ascii="Times New Roman" w:hAnsi="Times New Roman" w:cs="Times New Roman"/>
          <w:b/>
          <w:bCs/>
          <w:kern w:val="2"/>
          <w:lang w:val="en-US" w:eastAsia="zh-CN"/>
        </w:rPr>
        <w:sectPr>
          <w:headerReference r:id="rId7" w:type="first"/>
          <w:footerReference r:id="rId9" w:type="first"/>
          <w:headerReference r:id="rId5" w:type="default"/>
          <w:footerReference r:id="rId8" w:type="default"/>
          <w:headerReference r:id="rId6" w:type="even"/>
          <w:type w:val="continuous"/>
          <w:pgSz w:w="11906" w:h="16838"/>
          <w:pgMar w:top="1984" w:right="1701" w:bottom="1984" w:left="1701" w:header="1559"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14:paraId="67A4037E">
      <w:pPr>
        <w:pStyle w:val="21"/>
        <w:widowControl w:val="0"/>
        <w:rPr>
          <w:rFonts w:hint="eastAsia" w:ascii="Times New Roman" w:hAnsi="Times New Roman" w:cs="Times New Roman"/>
          <w:b/>
          <w:bCs/>
          <w:kern w:val="2"/>
          <w:lang w:val="en-US" w:eastAsia="zh-CN"/>
        </w:rPr>
      </w:pPr>
      <w:r>
        <w:rPr>
          <w:rFonts w:hint="eastAsia" w:ascii="Times New Roman" w:hAnsi="Times New Roman" w:cs="Times New Roman"/>
          <w:b/>
          <w:bCs/>
          <w:kern w:val="2"/>
          <w:lang w:val="en-US" w:eastAsia="zh-CN"/>
        </w:rPr>
        <w:t>摘</w:t>
      </w:r>
      <w:r>
        <w:rPr>
          <w:rFonts w:hint="eastAsia" w:cs="Times New Roman"/>
          <w:b/>
          <w:bCs/>
          <w:kern w:val="2"/>
          <w:lang w:val="en-US" w:eastAsia="zh-CN"/>
        </w:rPr>
        <w:t xml:space="preserve"> </w:t>
      </w:r>
      <w:r>
        <w:rPr>
          <w:rFonts w:hint="eastAsia" w:ascii="Times New Roman" w:hAnsi="Times New Roman" w:cs="Times New Roman"/>
          <w:b/>
          <w:bCs/>
          <w:kern w:val="2"/>
          <w:lang w:val="en-US" w:eastAsia="zh-CN"/>
        </w:rPr>
        <w:t>要</w:t>
      </w:r>
      <w:bookmarkEnd w:id="0"/>
      <w:bookmarkEnd w:id="1"/>
    </w:p>
    <w:p w14:paraId="0DA1BBB2">
      <w:pPr>
        <w:widowControl w:val="0"/>
        <w:spacing w:before="120" w:line="400" w:lineRule="exact"/>
        <w:ind w:firstLine="480" w:firstLineChars="200"/>
        <w:jc w:val="both"/>
        <w:rPr>
          <w:rFonts w:ascii="Times New Roman" w:hAnsi="Times New Roman" w:eastAsia="宋体" w:cs="Times New Roman"/>
          <w:color w:val="000000"/>
          <w:kern w:val="2"/>
          <w:sz w:val="24"/>
          <w:lang w:eastAsia="zh-CN"/>
        </w:rPr>
      </w:pPr>
      <w:r>
        <w:rPr>
          <w:rFonts w:ascii="Times New Roman" w:hAnsi="Times New Roman" w:eastAsia="宋体" w:cs="Times New Roman"/>
          <w:color w:val="000000"/>
          <w:kern w:val="2"/>
          <w:sz w:val="24"/>
          <w:lang w:eastAsia="zh-CN"/>
        </w:rPr>
        <w:t>本文基于国际贸易理论框架，结合政策与市场动态，综合实证方法解析中国对俄农产品出口的现状与路径。研究发现：中国对俄出口呈“大宗主导、高附加值增长”的双轨格局，区域集中于远东地区，但物流效率不足与认证壁垒制约发展。SWOT模型表明，中俄政策协同与俄进口依赖为驱动，卢布汇率波动与第三方竞争为阻力。产业集群理论揭示，俄短期需求聚焦果蔬与肉类缺口，长期需通过全产业链整合实现技术标准共建。研究提出三阶策略：政策层面完善跨境物流与检验互认，企业层面开发适俄认证产品并拓展电商渠道，行业层面构建数字化供应链联盟。本文创新性在于融合贸易理论与地缘变量，为政府与企业优化对俄合作提供决策支撑，并为新兴市场贸易研究提供理论参照。</w:t>
      </w:r>
    </w:p>
    <w:p w14:paraId="4419EA53">
      <w:pPr>
        <w:widowControl w:val="0"/>
        <w:spacing w:before="120" w:line="400" w:lineRule="exact"/>
        <w:ind w:firstLine="480" w:firstLineChars="200"/>
        <w:jc w:val="both"/>
        <w:rPr>
          <w:rFonts w:hint="eastAsia" w:ascii="Times New Roman" w:hAnsi="Times New Roman" w:eastAsia="宋体" w:cs="Times New Roman"/>
          <w:color w:val="000000"/>
          <w:kern w:val="2"/>
          <w:sz w:val="24"/>
          <w:lang w:val="en-US" w:eastAsia="zh-Hans"/>
        </w:rPr>
      </w:pPr>
    </w:p>
    <w:p w14:paraId="5D4A15A8">
      <w:pPr>
        <w:spacing w:before="120" w:line="400" w:lineRule="exact"/>
        <w:rPr>
          <w:color w:val="000000"/>
          <w:sz w:val="24"/>
        </w:rPr>
        <w:sectPr>
          <w:headerReference r:id="rId10" w:type="default"/>
          <w:footerReference r:id="rId12" w:type="default"/>
          <w:headerReference r:id="rId11" w:type="even"/>
          <w:footerReference r:id="rId13" w:type="even"/>
          <w:pgSz w:w="11906" w:h="16838"/>
          <w:pgMar w:top="1984" w:right="1701" w:bottom="1984" w:left="1701" w:header="1559"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r>
        <w:rPr>
          <w:b/>
          <w:sz w:val="24"/>
        </w:rPr>
        <w:t>关键词：</w:t>
      </w:r>
      <w:r>
        <w:rPr>
          <w:color w:val="000000"/>
          <w:sz w:val="24"/>
        </w:rPr>
        <w:t>中俄农产品贸易；出口前景；产业集群；地缘经济；结构升级</w:t>
      </w:r>
    </w:p>
    <w:p w14:paraId="7319DFCB">
      <w:pPr>
        <w:spacing w:before="120" w:line="400" w:lineRule="exact"/>
        <w:rPr>
          <w:color w:val="000000"/>
          <w:sz w:val="24"/>
        </w:rPr>
      </w:pPr>
    </w:p>
    <w:p w14:paraId="39B1FB6A">
      <w:pPr>
        <w:pStyle w:val="21"/>
        <w:widowControl w:val="0"/>
        <w:rPr>
          <w:rFonts w:hint="default" w:ascii="Times New Roman" w:hAnsi="Times New Roman" w:cs="Times New Roman"/>
          <w:b/>
          <w:bCs/>
          <w:kern w:val="2"/>
          <w:lang w:val="en-US" w:eastAsia="zh-CN"/>
        </w:rPr>
      </w:pPr>
      <w:bookmarkStart w:id="2" w:name="_Toc1755"/>
      <w:bookmarkStart w:id="3" w:name="_Toc11806"/>
      <w:r>
        <w:rPr>
          <w:rFonts w:hint="default" w:ascii="Times New Roman" w:hAnsi="Times New Roman" w:cs="Times New Roman"/>
          <w:b/>
          <w:bCs/>
          <w:kern w:val="2"/>
          <w:lang w:val="en-US" w:eastAsia="zh-CN"/>
        </w:rPr>
        <w:t>Abstract</w:t>
      </w:r>
      <w:bookmarkEnd w:id="2"/>
      <w:bookmarkEnd w:id="3"/>
    </w:p>
    <w:p w14:paraId="120B0A84">
      <w:pPr>
        <w:spacing w:before="120" w:line="400" w:lineRule="exact"/>
        <w:ind w:firstLine="260" w:firstLineChars="100"/>
        <w:rPr>
          <w:bCs/>
          <w:color w:val="000000"/>
          <w:spacing w:val="10"/>
          <w:sz w:val="24"/>
        </w:rPr>
      </w:pPr>
      <w:r>
        <w:rPr>
          <w:bCs/>
          <w:color w:val="000000"/>
          <w:spacing w:val="10"/>
          <w:sz w:val="24"/>
        </w:rPr>
        <w:t>This study explores China's agricultural exports to Russia by drawing on theories of international trade, industrial clusters, and market entry, combined with policy and market analysis. It identifies a dual-track export structure dominated by bulk commodities, with high-value-added products growing rapidly, yet constrained by logistics inefficiencies and certification barriers. Using the SWOT-PEST framework, key drivers include Sino-Russian policy coordination and Russia's import dependency, while challenges involve Ruble volatility, third-party competition, and protectionism. The analysis highlights short-term opportunities in Russia's demand for fruits, vegetables, and meat, with long-term potential requiring industrial chain integration for technological collaboration. A three-pronged strategy is proposed: policy measures to improve logistics and mutual certification, corporate initiatives to develop certified high-value products via e-commerce, and industry alliances to build resilient digital supply chains. The research integrates trade and geo-economic theories, offering practical insights for optimizing Sino-Russian agricultural cooperation and advancing emerging market trade studies.</w:t>
      </w:r>
    </w:p>
    <w:p w14:paraId="1839D446">
      <w:pPr>
        <w:spacing w:before="120" w:line="400" w:lineRule="exact"/>
        <w:ind w:firstLine="260" w:firstLineChars="100"/>
        <w:rPr>
          <w:bCs/>
          <w:color w:val="000000"/>
          <w:spacing w:val="10"/>
          <w:sz w:val="24"/>
        </w:rPr>
      </w:pPr>
    </w:p>
    <w:p w14:paraId="05BA2296">
      <w:pPr>
        <w:spacing w:before="120" w:line="400" w:lineRule="exact"/>
        <w:rPr>
          <w:bCs/>
          <w:color w:val="000000"/>
          <w:spacing w:val="10"/>
          <w:sz w:val="24"/>
        </w:rPr>
      </w:pPr>
      <w:r>
        <w:rPr>
          <w:b/>
          <w:bCs/>
          <w:color w:val="000000"/>
          <w:spacing w:val="10"/>
          <w:sz w:val="24"/>
        </w:rPr>
        <w:t>Keywords：</w:t>
      </w:r>
      <w:r>
        <w:rPr>
          <w:bCs/>
          <w:color w:val="000000"/>
          <w:spacing w:val="10"/>
          <w:sz w:val="24"/>
        </w:rPr>
        <w:t>Sino-Russian agricultural trade; export prospects; industrial clusters; geo-economics; structural upgrading</w:t>
      </w:r>
    </w:p>
    <w:p w14:paraId="087526E3">
      <w:pPr>
        <w:rPr>
          <w:bCs/>
          <w:color w:val="000000"/>
          <w:spacing w:val="10"/>
          <w:sz w:val="24"/>
        </w:rPr>
        <w:sectPr>
          <w:pgSz w:w="11906" w:h="16838"/>
          <w:pgMar w:top="1984" w:right="1701" w:bottom="1984" w:left="1701" w:header="1559"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14:paraId="057D3695">
      <w:pPr>
        <w:rPr>
          <w:bCs/>
          <w:color w:val="000000"/>
          <w:spacing w:val="10"/>
          <w:sz w:val="24"/>
        </w:rPr>
      </w:pPr>
    </w:p>
    <w:p w14:paraId="3C4081BC">
      <w:pPr>
        <w:spacing w:before="120" w:line="400" w:lineRule="exact"/>
        <w:rPr>
          <w:bCs/>
          <w:color w:val="000000"/>
          <w:spacing w:val="10"/>
          <w:sz w:val="24"/>
        </w:rPr>
      </w:pPr>
    </w:p>
    <w:sdt>
      <w:sdtPr>
        <w:rPr>
          <w:rFonts w:ascii="宋体" w:hAnsi="宋体" w:eastAsia="宋体" w:cs="Times New Roman"/>
          <w:sz w:val="21"/>
          <w:szCs w:val="24"/>
          <w:lang w:val="en-US" w:eastAsia="uk-UA" w:bidi="ar-SA"/>
        </w:rPr>
        <w:id w:val="147461514"/>
        <w15:color w:val="DBDBDB"/>
        <w:docPartObj>
          <w:docPartGallery w:val="Table of Contents"/>
          <w:docPartUnique/>
        </w:docPartObj>
      </w:sdtPr>
      <w:sdtEndPr>
        <w:rPr>
          <w:rFonts w:hint="eastAsia" w:ascii="Times New Roman" w:hAnsi="Times New Roman" w:eastAsia="Times New Roman" w:cs="Times New Roman"/>
          <w:sz w:val="24"/>
          <w:szCs w:val="24"/>
          <w:lang w:val="en-US" w:eastAsia="zh-CN" w:bidi="ar-SA"/>
        </w:rPr>
      </w:sdtEndPr>
      <w:sdtContent>
        <w:p w14:paraId="673B1ADF">
          <w:pPr>
            <w:spacing w:before="0" w:beforeLines="0" w:after="0" w:afterLines="0" w:line="240" w:lineRule="auto"/>
            <w:ind w:left="0" w:leftChars="0" w:right="0" w:rightChars="0" w:firstLine="0" w:firstLineChars="0"/>
            <w:jc w:val="center"/>
          </w:pPr>
          <w:r>
            <w:rPr>
              <w:rFonts w:ascii="宋体" w:hAnsi="宋体" w:eastAsia="宋体"/>
              <w:sz w:val="44"/>
              <w:szCs w:val="44"/>
            </w:rPr>
            <w:t>目录</w:t>
          </w:r>
        </w:p>
        <w:p w14:paraId="2170E5FF">
          <w:pPr>
            <w:pStyle w:val="12"/>
            <w:tabs>
              <w:tab w:val="right" w:leader="dot" w:pos="8504"/>
            </w:tabs>
            <w:jc w:val="both"/>
            <w:rPr>
              <w:rFonts w:hint="eastAsia" w:ascii="黑体" w:hAnsi="黑体" w:eastAsia="黑体" w:cs="黑体"/>
            </w:rPr>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_Toc7466 </w:instrText>
          </w:r>
          <w:r>
            <w:rPr>
              <w:rFonts w:hint="eastAsia" w:ascii="黑体" w:hAnsi="黑体" w:eastAsia="黑体" w:cs="黑体"/>
              <w:lang w:val="en-US" w:eastAsia="zh-CN"/>
            </w:rPr>
            <w:fldChar w:fldCharType="separate"/>
          </w:r>
          <w:r>
            <w:rPr>
              <w:rFonts w:hint="eastAsia" w:ascii="黑体" w:hAnsi="黑体" w:eastAsia="黑体" w:cs="黑体"/>
              <w:bCs/>
              <w:szCs w:val="30"/>
              <w:lang w:val="en-US" w:eastAsia="zh-CN"/>
            </w:rPr>
            <w:t>第</w:t>
          </w:r>
          <w:r>
            <w:rPr>
              <w:rFonts w:hint="eastAsia" w:ascii="黑体" w:hAnsi="黑体" w:eastAsia="黑体" w:cs="黑体"/>
              <w:bCs/>
              <w:szCs w:val="30"/>
            </w:rPr>
            <w:t>1</w:t>
          </w:r>
          <w:r>
            <w:rPr>
              <w:rFonts w:hint="eastAsia" w:ascii="黑体" w:hAnsi="黑体" w:eastAsia="黑体" w:cs="黑体"/>
              <w:bCs/>
              <w:szCs w:val="30"/>
              <w:lang w:val="en-US" w:eastAsia="zh-CN"/>
            </w:rPr>
            <w:t>章</w:t>
          </w:r>
          <w:r>
            <w:rPr>
              <w:rFonts w:hint="eastAsia" w:ascii="黑体" w:hAnsi="黑体" w:eastAsia="黑体" w:cs="黑体"/>
              <w:bCs/>
              <w:szCs w:val="30"/>
            </w:rPr>
            <w:t xml:space="preserve"> </w:t>
          </w:r>
          <w:r>
            <w:rPr>
              <w:rFonts w:hint="eastAsia" w:ascii="黑体" w:hAnsi="黑体" w:eastAsia="黑体" w:cs="黑体"/>
              <w:bCs/>
              <w:szCs w:val="30"/>
              <w:lang w:val="en-US" w:eastAsia="zh-CN"/>
            </w:rPr>
            <w:t xml:space="preserve"> </w:t>
          </w:r>
          <w:r>
            <w:rPr>
              <w:rFonts w:hint="eastAsia" w:ascii="黑体" w:hAnsi="黑体" w:eastAsia="黑体" w:cs="黑体"/>
              <w:bCs/>
              <w:szCs w:val="30"/>
            </w:rPr>
            <w:t>绪论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_Toc7466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7C911F18">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_Toc23261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1.1 研究背景及意义</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_Toc23261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71EFD1F5">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_Toc26982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1.1.1</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w:t>
          </w:r>
          <w:r>
            <w:rPr>
              <w:rFonts w:hint="eastAsia" w:ascii="黑体" w:hAnsi="黑体" w:eastAsia="黑体" w:cs="黑体"/>
              <w:bCs/>
              <w:kern w:val="2"/>
              <w:lang w:val="en-US" w:eastAsia="zh-CN"/>
            </w:rPr>
            <w:t>研究背景</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_Toc26982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51C332A2">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_Toc2321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1.1.2</w:t>
          </w:r>
          <w:r>
            <w:rPr>
              <w:rFonts w:hint="eastAsia" w:ascii="黑体" w:hAnsi="黑体" w:eastAsia="黑体" w:cs="黑体"/>
              <w:bCs/>
              <w:kern w:val="2"/>
              <w:lang w:val="en-US" w:eastAsia="zh-CN"/>
            </w:rPr>
            <w:t xml:space="preserve"> 意义</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_Toc2321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53C8CF25">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_Toc8618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1.2 国内外文献综述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_Toc8618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8051DFD">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_Toc9412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1.2.1</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国内研究现状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_Toc9412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62DBB15B">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_Toc22967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1.2.2</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国外研究现状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_Toc22967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9E0E2FE">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_Toc20808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1.2.</w:t>
          </w:r>
          <w:r>
            <w:rPr>
              <w:rFonts w:hint="eastAsia" w:ascii="黑体" w:hAnsi="黑体" w:eastAsia="黑体" w:cs="黑体"/>
              <w:bCs/>
              <w:kern w:val="2"/>
              <w:lang w:val="en-US" w:eastAsia="zh-CN"/>
            </w:rPr>
            <w:t xml:space="preserve">3 </w:t>
          </w:r>
          <w:r>
            <w:rPr>
              <w:rFonts w:hint="eastAsia" w:ascii="黑体" w:hAnsi="黑体" w:eastAsia="黑体" w:cs="黑体"/>
              <w:bCs/>
              <w:kern w:val="2"/>
              <w:lang w:eastAsia="zh-CN"/>
            </w:rPr>
            <w:t xml:space="preserve"> </w:t>
          </w:r>
          <w:r>
            <w:rPr>
              <w:rFonts w:hint="eastAsia" w:ascii="黑体" w:hAnsi="黑体" w:eastAsia="黑体" w:cs="黑体"/>
              <w:bCs/>
              <w:kern w:val="2"/>
              <w:lang w:val="en-US" w:eastAsia="zh-CN"/>
            </w:rPr>
            <w:t>文献综述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_Toc20808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6E95FDE8">
          <w:pPr>
            <w:pStyle w:val="12"/>
            <w:tabs>
              <w:tab w:val="right" w:leader="dot" w:pos="8504"/>
            </w:tabs>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_Toc29643 </w:instrText>
          </w:r>
          <w:r>
            <w:rPr>
              <w:rFonts w:hint="eastAsia" w:ascii="黑体" w:hAnsi="黑体" w:eastAsia="黑体" w:cs="黑体"/>
              <w:lang w:val="en-US" w:eastAsia="zh-CN"/>
            </w:rPr>
            <w:fldChar w:fldCharType="separate"/>
          </w:r>
          <w:r>
            <w:rPr>
              <w:rFonts w:hint="eastAsia" w:ascii="黑体" w:hAnsi="黑体" w:eastAsia="黑体" w:cs="黑体"/>
              <w:bCs/>
              <w:szCs w:val="30"/>
              <w:lang w:val="en-US" w:eastAsia="zh-CN"/>
            </w:rPr>
            <w:t>第</w:t>
          </w:r>
          <w:r>
            <w:rPr>
              <w:rFonts w:hint="eastAsia" w:ascii="黑体" w:hAnsi="黑体" w:eastAsia="黑体" w:cs="黑体"/>
              <w:bCs/>
              <w:szCs w:val="30"/>
            </w:rPr>
            <w:t>2</w:t>
          </w:r>
          <w:r>
            <w:rPr>
              <w:rFonts w:hint="eastAsia" w:ascii="黑体" w:hAnsi="黑体" w:eastAsia="黑体" w:cs="黑体"/>
              <w:bCs/>
              <w:szCs w:val="30"/>
              <w:lang w:val="en-US" w:eastAsia="zh-CN"/>
            </w:rPr>
            <w:t>章</w:t>
          </w:r>
          <w:r>
            <w:rPr>
              <w:rFonts w:hint="eastAsia" w:ascii="黑体" w:hAnsi="黑体" w:eastAsia="黑体" w:cs="黑体"/>
              <w:bCs/>
              <w:szCs w:val="30"/>
            </w:rPr>
            <w:t xml:space="preserve"> </w:t>
          </w:r>
          <w:r>
            <w:rPr>
              <w:rFonts w:hint="eastAsia" w:ascii="黑体" w:hAnsi="黑体" w:eastAsia="黑体" w:cs="黑体"/>
              <w:bCs/>
              <w:szCs w:val="30"/>
              <w:lang w:val="en-US" w:eastAsia="zh-CN"/>
            </w:rPr>
            <w:t xml:space="preserve"> 基本概念与理论基础​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_Toc29643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0C752015">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_Toc19276 </w:instrText>
          </w:r>
          <w:r>
            <w:rPr>
              <w:rFonts w:hint="eastAsia" w:ascii="黑体" w:hAnsi="黑体" w:eastAsia="黑体" w:cs="黑体"/>
              <w:lang w:val="en-US" w:eastAsia="zh-CN"/>
            </w:rPr>
            <w:fldChar w:fldCharType="separate"/>
          </w:r>
          <w:r>
            <w:rPr>
              <w:rFonts w:hint="eastAsia" w:ascii="黑体" w:hAnsi="黑体" w:eastAsia="黑体" w:cs="黑体"/>
              <w:bCs/>
              <w:szCs w:val="28"/>
            </w:rPr>
            <w:t xml:space="preserve">2.1 </w:t>
          </w:r>
          <w:r>
            <w:rPr>
              <w:rFonts w:hint="eastAsia" w:ascii="黑体" w:hAnsi="黑体" w:eastAsia="黑体" w:cs="黑体"/>
              <w:bCs/>
              <w:i w:val="0"/>
              <w:iCs w:val="0"/>
              <w:caps w:val="0"/>
              <w:spacing w:val="0"/>
              <w:szCs w:val="28"/>
              <w:shd w:val="clear" w:fill="FCFCFC"/>
            </w:rPr>
            <w:t>贸易理论基础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_Toc19276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C12C50A">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_Toc14232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2.1.1</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比较优势理论与国际分工动因</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_Toc14232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38FABB31">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_Toc19066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2.1.2</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要素禀赋理论（H-O模型）的适用性分析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_Toc19066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075481C">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_Toc14836 </w:instrText>
          </w:r>
          <w:r>
            <w:rPr>
              <w:rFonts w:hint="eastAsia" w:ascii="黑体" w:hAnsi="黑体" w:eastAsia="黑体" w:cs="黑体"/>
              <w:lang w:val="en-US" w:eastAsia="zh-CN"/>
            </w:rPr>
            <w:fldChar w:fldCharType="separate"/>
          </w:r>
          <w:r>
            <w:rPr>
              <w:rFonts w:hint="eastAsia" w:ascii="黑体" w:hAnsi="黑体" w:eastAsia="黑体" w:cs="黑体"/>
              <w:bCs/>
              <w:szCs w:val="28"/>
            </w:rPr>
            <w:t>2.2</w:t>
          </w:r>
          <w:r>
            <w:rPr>
              <w:rFonts w:hint="eastAsia" w:ascii="黑体" w:hAnsi="黑体" w:eastAsia="黑体" w:cs="黑体"/>
              <w:bCs/>
              <w:szCs w:val="28"/>
              <w:lang w:val="en-US" w:eastAsia="zh-CN"/>
            </w:rPr>
            <w:t xml:space="preserve"> </w:t>
          </w:r>
          <w:r>
            <w:rPr>
              <w:rFonts w:hint="eastAsia" w:ascii="黑体" w:hAnsi="黑体" w:eastAsia="黑体" w:cs="黑体"/>
              <w:bCs/>
              <w:szCs w:val="28"/>
            </w:rPr>
            <w:t xml:space="preserve"> 产业集群理论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_Toc14836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0D85B7E1">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_Toc9429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2.2.1</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产业集群的形成机制与竞争优势</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_Toc9429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11CF3D21">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_Toc25400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2.2.2</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产业集群对出口竞争力的提升路径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_Toc25400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A895BB5">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_Toc27181 </w:instrText>
          </w:r>
          <w:r>
            <w:rPr>
              <w:rFonts w:hint="eastAsia" w:ascii="黑体" w:hAnsi="黑体" w:eastAsia="黑体" w:cs="黑体"/>
              <w:lang w:val="en-US" w:eastAsia="zh-CN"/>
            </w:rPr>
            <w:fldChar w:fldCharType="separate"/>
          </w:r>
          <w:r>
            <w:rPr>
              <w:rFonts w:hint="eastAsia" w:ascii="黑体" w:hAnsi="黑体" w:eastAsia="黑体" w:cs="黑体"/>
              <w:bCs/>
              <w:szCs w:val="28"/>
            </w:rPr>
            <w:t>2.</w:t>
          </w:r>
          <w:r>
            <w:rPr>
              <w:rFonts w:hint="eastAsia" w:ascii="黑体" w:hAnsi="黑体" w:eastAsia="黑体" w:cs="黑体"/>
              <w:bCs/>
              <w:szCs w:val="28"/>
              <w:lang w:val="en-US" w:eastAsia="zh-CN"/>
            </w:rPr>
            <w:t xml:space="preserve">3 </w:t>
          </w:r>
          <w:r>
            <w:rPr>
              <w:rFonts w:hint="eastAsia" w:ascii="黑体" w:hAnsi="黑体" w:eastAsia="黑体" w:cs="黑体"/>
              <w:bCs/>
              <w:szCs w:val="28"/>
            </w:rPr>
            <w:t xml:space="preserve"> 市场进入理论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_Toc27181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3BF313CC">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_Toc4451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2.</w:t>
          </w:r>
          <w:r>
            <w:rPr>
              <w:rFonts w:hint="eastAsia" w:ascii="黑体" w:hAnsi="黑体" w:eastAsia="黑体" w:cs="黑体"/>
              <w:bCs/>
              <w:kern w:val="2"/>
              <w:lang w:val="en-US" w:eastAsia="zh-CN"/>
            </w:rPr>
            <w:t>3</w:t>
          </w:r>
          <w:r>
            <w:rPr>
              <w:rFonts w:hint="eastAsia" w:ascii="黑体" w:hAnsi="黑体" w:eastAsia="黑体" w:cs="黑体"/>
              <w:bCs/>
              <w:kern w:val="2"/>
              <w:lang w:eastAsia="zh-CN"/>
            </w:rPr>
            <w:t>.1</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市场进入模式选择：出口、直接投资与战略联盟</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_Toc4451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1D1BAFE4">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_Toc8237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2.</w:t>
          </w:r>
          <w:r>
            <w:rPr>
              <w:rFonts w:hint="eastAsia" w:ascii="黑体" w:hAnsi="黑体" w:eastAsia="黑体" w:cs="黑体"/>
              <w:bCs/>
              <w:kern w:val="2"/>
              <w:lang w:val="en-US" w:eastAsia="zh-CN"/>
            </w:rPr>
            <w:t>3</w:t>
          </w:r>
          <w:r>
            <w:rPr>
              <w:rFonts w:hint="eastAsia" w:ascii="黑体" w:hAnsi="黑体" w:eastAsia="黑体" w:cs="黑体"/>
              <w:bCs/>
              <w:kern w:val="2"/>
              <w:lang w:eastAsia="zh-CN"/>
            </w:rPr>
            <w:t>.2</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市场进入壁垒与风险理论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_Toc8237 \h </w:instrText>
          </w:r>
          <w:r>
            <w:rPr>
              <w:rFonts w:hint="eastAsia" w:ascii="黑体" w:hAnsi="黑体" w:eastAsia="黑体" w:cs="黑体"/>
            </w:rPr>
            <w:fldChar w:fldCharType="separate"/>
          </w:r>
          <w:r>
            <w:rPr>
              <w:rFonts w:hint="eastAsia" w:ascii="黑体" w:hAnsi="黑体" w:eastAsia="黑体" w:cs="黑体"/>
            </w:rPr>
            <w:t>13</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623CBC0">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_Toc31866 </w:instrText>
          </w:r>
          <w:r>
            <w:rPr>
              <w:rFonts w:hint="eastAsia" w:ascii="黑体" w:hAnsi="黑体" w:eastAsia="黑体" w:cs="黑体"/>
              <w:lang w:val="en-US" w:eastAsia="zh-CN"/>
            </w:rPr>
            <w:fldChar w:fldCharType="separate"/>
          </w:r>
          <w:r>
            <w:rPr>
              <w:rFonts w:hint="eastAsia" w:ascii="黑体" w:hAnsi="黑体" w:eastAsia="黑体" w:cs="黑体"/>
              <w:bCs/>
              <w:kern w:val="2"/>
              <w:lang w:eastAsia="zh-CN"/>
            </w:rPr>
            <w:t>2.</w:t>
          </w:r>
          <w:r>
            <w:rPr>
              <w:rFonts w:hint="eastAsia" w:ascii="黑体" w:hAnsi="黑体" w:eastAsia="黑体" w:cs="黑体"/>
              <w:bCs/>
              <w:kern w:val="2"/>
              <w:lang w:val="en-US" w:eastAsia="zh-CN"/>
            </w:rPr>
            <w:t>3</w:t>
          </w:r>
          <w:r>
            <w:rPr>
              <w:rFonts w:hint="eastAsia" w:ascii="黑体" w:hAnsi="黑体" w:eastAsia="黑体" w:cs="黑体"/>
              <w:bCs/>
              <w:kern w:val="2"/>
              <w:lang w:eastAsia="zh-CN"/>
            </w:rPr>
            <w:t>.</w:t>
          </w:r>
          <w:r>
            <w:rPr>
              <w:rFonts w:hint="eastAsia" w:ascii="黑体" w:hAnsi="黑体" w:eastAsia="黑体" w:cs="黑体"/>
              <w:bCs/>
              <w:kern w:val="2"/>
              <w:lang w:val="en-US" w:eastAsia="zh-CN"/>
            </w:rPr>
            <w:t xml:space="preserve">3 </w:t>
          </w:r>
          <w:r>
            <w:rPr>
              <w:rFonts w:hint="eastAsia" w:ascii="黑体" w:hAnsi="黑体" w:eastAsia="黑体" w:cs="黑体"/>
              <w:bCs/>
              <w:kern w:val="2"/>
              <w:lang w:eastAsia="zh-CN"/>
            </w:rPr>
            <w:t xml:space="preserve"> 渐进式市场进入策略的实践应用</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_Toc31866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38965CCF">
          <w:pPr>
            <w:pStyle w:val="12"/>
            <w:tabs>
              <w:tab w:val="right" w:leader="dot" w:pos="8504"/>
            </w:tabs>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_Toc19398 </w:instrText>
          </w:r>
          <w:r>
            <w:rPr>
              <w:rFonts w:hint="eastAsia" w:ascii="黑体" w:hAnsi="黑体" w:eastAsia="黑体" w:cs="黑体"/>
              <w:lang w:val="en-US" w:eastAsia="zh-CN"/>
            </w:rPr>
            <w:fldChar w:fldCharType="separate"/>
          </w:r>
          <w:r>
            <w:rPr>
              <w:rFonts w:hint="eastAsia" w:ascii="黑体" w:hAnsi="黑体" w:eastAsia="黑体" w:cs="黑体"/>
              <w:bCs/>
              <w:szCs w:val="30"/>
              <w:lang w:val="en-US" w:eastAsia="zh-CN"/>
            </w:rPr>
            <w:t>第3章</w:t>
          </w:r>
          <w:r>
            <w:rPr>
              <w:rFonts w:hint="eastAsia" w:ascii="黑体" w:hAnsi="黑体" w:eastAsia="黑体" w:cs="黑体"/>
              <w:bCs/>
              <w:szCs w:val="30"/>
            </w:rPr>
            <w:t xml:space="preserve"> </w:t>
          </w:r>
          <w:r>
            <w:rPr>
              <w:rFonts w:hint="eastAsia" w:ascii="黑体" w:hAnsi="黑体" w:eastAsia="黑体" w:cs="黑体"/>
              <w:bCs/>
              <w:szCs w:val="30"/>
              <w:lang w:val="en-US" w:eastAsia="zh-CN"/>
            </w:rPr>
            <w:t xml:space="preserve"> 中国对俄罗斯农产品出口</w:t>
          </w:r>
          <w:r>
            <w:rPr>
              <w:rFonts w:hint="eastAsia" w:ascii="黑体" w:hAnsi="黑体" w:eastAsia="黑体" w:cs="黑体"/>
              <w:bCs/>
              <w:szCs w:val="30"/>
            </w:rPr>
            <w:t>的现状分析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_Toc19398 \h </w:instrText>
          </w:r>
          <w:r>
            <w:rPr>
              <w:rFonts w:hint="eastAsia" w:ascii="黑体" w:hAnsi="黑体" w:eastAsia="黑体" w:cs="黑体"/>
            </w:rPr>
            <w:fldChar w:fldCharType="separate"/>
          </w:r>
          <w:r>
            <w:rPr>
              <w:rFonts w:hint="eastAsia" w:ascii="黑体" w:hAnsi="黑体" w:eastAsia="黑体" w:cs="黑体"/>
            </w:rPr>
            <w:t>15</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CF3BF72">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_Toc30394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3</w:t>
          </w:r>
          <w:r>
            <w:rPr>
              <w:rFonts w:hint="eastAsia" w:ascii="黑体" w:hAnsi="黑体" w:eastAsia="黑体" w:cs="黑体"/>
              <w:bCs/>
              <w:szCs w:val="28"/>
            </w:rPr>
            <w:t>.1</w:t>
          </w:r>
          <w:r>
            <w:rPr>
              <w:rFonts w:hint="eastAsia" w:ascii="黑体" w:hAnsi="黑体" w:eastAsia="黑体" w:cs="黑体"/>
              <w:bCs/>
              <w:szCs w:val="28"/>
              <w:lang w:val="en-US" w:eastAsia="zh-CN"/>
            </w:rPr>
            <w:t xml:space="preserve"> </w:t>
          </w:r>
          <w:r>
            <w:rPr>
              <w:rFonts w:hint="eastAsia" w:ascii="黑体" w:hAnsi="黑体" w:eastAsia="黑体" w:cs="黑体"/>
              <w:bCs/>
              <w:szCs w:val="28"/>
            </w:rPr>
            <w:t xml:space="preserve"> 中国对俄农产品出口的总体规模与结构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_Toc30394 \h </w:instrText>
          </w:r>
          <w:r>
            <w:rPr>
              <w:rFonts w:hint="eastAsia" w:ascii="黑体" w:hAnsi="黑体" w:eastAsia="黑体" w:cs="黑体"/>
            </w:rPr>
            <w:fldChar w:fldCharType="separate"/>
          </w:r>
          <w:r>
            <w:rPr>
              <w:rFonts w:hint="eastAsia" w:ascii="黑体" w:hAnsi="黑体" w:eastAsia="黑体" w:cs="黑体"/>
            </w:rPr>
            <w:t>15</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7CFCB2DB">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_Toc6918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3</w:t>
          </w:r>
          <w:r>
            <w:rPr>
              <w:rFonts w:hint="eastAsia" w:ascii="黑体" w:hAnsi="黑体" w:eastAsia="黑体" w:cs="黑体"/>
              <w:bCs/>
              <w:kern w:val="2"/>
              <w:lang w:eastAsia="zh-CN"/>
            </w:rPr>
            <w:t>.1.1</w:t>
          </w:r>
          <w:r>
            <w:rPr>
              <w:rFonts w:hint="eastAsia" w:ascii="黑体" w:hAnsi="黑体" w:eastAsia="黑体" w:cs="黑体"/>
              <w:bCs/>
              <w:kern w:val="2"/>
              <w:lang w:val="en-US" w:eastAsia="zh-CN"/>
            </w:rPr>
            <w:t xml:space="preserve"> </w:t>
          </w:r>
          <w:r>
            <w:rPr>
              <w:rFonts w:hint="eastAsia" w:ascii="黑体" w:hAnsi="黑体" w:eastAsia="黑体" w:cs="黑体"/>
              <w:bCs/>
              <w:kern w:val="2"/>
              <w:lang w:eastAsia="zh-CN"/>
            </w:rPr>
            <w:t xml:space="preserve"> 出口规模与增长趋势</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_Toc6918 \h </w:instrText>
          </w:r>
          <w:r>
            <w:rPr>
              <w:rFonts w:hint="eastAsia" w:ascii="黑体" w:hAnsi="黑体" w:eastAsia="黑体" w:cs="黑体"/>
            </w:rPr>
            <w:fldChar w:fldCharType="separate"/>
          </w:r>
          <w:r>
            <w:rPr>
              <w:rFonts w:hint="eastAsia" w:ascii="黑体" w:hAnsi="黑体" w:eastAsia="黑体" w:cs="黑体"/>
            </w:rPr>
            <w:t>15</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7063E85B">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_Toc12187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3.1.2  贸易结构特征分析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_Toc12187 \h </w:instrText>
          </w:r>
          <w:r>
            <w:rPr>
              <w:rFonts w:hint="eastAsia" w:ascii="黑体" w:hAnsi="黑体" w:eastAsia="黑体" w:cs="黑体"/>
            </w:rPr>
            <w:fldChar w:fldCharType="separate"/>
          </w:r>
          <w:r>
            <w:rPr>
              <w:rFonts w:hint="eastAsia" w:ascii="黑体" w:hAnsi="黑体" w:eastAsia="黑体" w:cs="黑体"/>
            </w:rPr>
            <w:t>16</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7B220AB">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_Toc23199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3.2  主要出口品类及区域分布特征</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_Toc23199 \h </w:instrText>
          </w:r>
          <w:r>
            <w:rPr>
              <w:rFonts w:hint="eastAsia" w:ascii="黑体" w:hAnsi="黑体" w:eastAsia="黑体" w:cs="黑体"/>
            </w:rPr>
            <w:fldChar w:fldCharType="separate"/>
          </w:r>
          <w:r>
            <w:rPr>
              <w:rFonts w:hint="eastAsia" w:ascii="黑体" w:hAnsi="黑体" w:eastAsia="黑体" w:cs="黑体"/>
            </w:rPr>
            <w:t>18</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3B9D618D">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_Toc6074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3.2.1  核心出口品类分析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_Toc6074 \h </w:instrText>
          </w:r>
          <w:r>
            <w:rPr>
              <w:rFonts w:hint="eastAsia" w:ascii="黑体" w:hAnsi="黑体" w:eastAsia="黑体" w:cs="黑体"/>
            </w:rPr>
            <w:fldChar w:fldCharType="separate"/>
          </w:r>
          <w:r>
            <w:rPr>
              <w:rFonts w:hint="eastAsia" w:ascii="黑体" w:hAnsi="黑体" w:eastAsia="黑体" w:cs="黑体"/>
            </w:rPr>
            <w:t>18</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65D2589">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_Toc31911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3.2.2  区域市场分布特征</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_Toc31911 \h </w:instrText>
          </w:r>
          <w:r>
            <w:rPr>
              <w:rFonts w:hint="eastAsia" w:ascii="黑体" w:hAnsi="黑体" w:eastAsia="黑体" w:cs="黑体"/>
            </w:rPr>
            <w:fldChar w:fldCharType="separate"/>
          </w:r>
          <w:r>
            <w:rPr>
              <w:rFonts w:hint="eastAsia" w:ascii="黑体" w:hAnsi="黑体" w:eastAsia="黑体" w:cs="黑体"/>
            </w:rPr>
            <w:t>19</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A56D352">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_Toc13590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3.3  当前贸易渠道与合作机制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_Toc13590 \h </w:instrText>
          </w:r>
          <w:r>
            <w:rPr>
              <w:rFonts w:hint="eastAsia" w:ascii="黑体" w:hAnsi="黑体" w:eastAsia="黑体" w:cs="黑体"/>
            </w:rPr>
            <w:fldChar w:fldCharType="separate"/>
          </w:r>
          <w:r>
            <w:rPr>
              <w:rFonts w:hint="eastAsia" w:ascii="黑体" w:hAnsi="黑体" w:eastAsia="黑体" w:cs="黑体"/>
            </w:rPr>
            <w:t>19</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CE3C998">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_Toc25177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3.3.1  传统贸易与新兴渠道结合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_Toc25177 \h </w:instrText>
          </w:r>
          <w:r>
            <w:rPr>
              <w:rFonts w:hint="eastAsia" w:ascii="黑体" w:hAnsi="黑体" w:eastAsia="黑体" w:cs="黑体"/>
            </w:rPr>
            <w:fldChar w:fldCharType="separate"/>
          </w:r>
          <w:r>
            <w:rPr>
              <w:rFonts w:hint="eastAsia" w:ascii="黑体" w:hAnsi="黑体" w:eastAsia="黑体" w:cs="黑体"/>
            </w:rPr>
            <w:t>19</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908BC4B">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_Toc29262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3.3.2  政策支持与平台建设</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_Toc29262 \h </w:instrText>
          </w:r>
          <w:r>
            <w:rPr>
              <w:rFonts w:hint="eastAsia" w:ascii="黑体" w:hAnsi="黑体" w:eastAsia="黑体" w:cs="黑体"/>
            </w:rPr>
            <w:fldChar w:fldCharType="separate"/>
          </w:r>
          <w:r>
            <w:rPr>
              <w:rFonts w:hint="eastAsia" w:ascii="黑体" w:hAnsi="黑体" w:eastAsia="黑体" w:cs="黑体"/>
            </w:rPr>
            <w:t>20</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6899373B">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_Toc26849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3.3.3  现存问题与瓶颈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_Toc26849 \h </w:instrText>
          </w:r>
          <w:r>
            <w:rPr>
              <w:rFonts w:hint="eastAsia" w:ascii="黑体" w:hAnsi="黑体" w:eastAsia="黑体" w:cs="黑体"/>
            </w:rPr>
            <w:fldChar w:fldCharType="separate"/>
          </w:r>
          <w:r>
            <w:rPr>
              <w:rFonts w:hint="eastAsia" w:ascii="黑体" w:hAnsi="黑体" w:eastAsia="黑体" w:cs="黑体"/>
            </w:rPr>
            <w:t>20</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1EDC5827">
          <w:pPr>
            <w:pStyle w:val="12"/>
            <w:tabs>
              <w:tab w:val="right" w:leader="dot" w:pos="8504"/>
            </w:tabs>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_Toc2244 </w:instrText>
          </w:r>
          <w:r>
            <w:rPr>
              <w:rFonts w:hint="eastAsia" w:ascii="黑体" w:hAnsi="黑体" w:eastAsia="黑体" w:cs="黑体"/>
              <w:lang w:val="en-US" w:eastAsia="zh-CN"/>
            </w:rPr>
            <w:fldChar w:fldCharType="separate"/>
          </w:r>
          <w:r>
            <w:rPr>
              <w:rFonts w:hint="eastAsia" w:ascii="黑体" w:hAnsi="黑体" w:eastAsia="黑体" w:cs="黑体"/>
              <w:bCs/>
              <w:szCs w:val="30"/>
              <w:lang w:val="en-US" w:eastAsia="zh-CN"/>
            </w:rPr>
            <w:t>第4章</w:t>
          </w:r>
          <w:r>
            <w:rPr>
              <w:rFonts w:hint="eastAsia" w:ascii="黑体" w:hAnsi="黑体" w:eastAsia="黑体" w:cs="黑体"/>
              <w:bCs/>
              <w:szCs w:val="30"/>
            </w:rPr>
            <w:t xml:space="preserve"> 基于现状分析的核心结论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_Toc2244 \h </w:instrText>
          </w:r>
          <w:r>
            <w:rPr>
              <w:rFonts w:hint="eastAsia" w:ascii="黑体" w:hAnsi="黑体" w:eastAsia="黑体" w:cs="黑体"/>
            </w:rPr>
            <w:fldChar w:fldCharType="separate"/>
          </w:r>
          <w:r>
            <w:rPr>
              <w:rFonts w:hint="eastAsia" w:ascii="黑体" w:hAnsi="黑体" w:eastAsia="黑体" w:cs="黑体"/>
            </w:rPr>
            <w:t>21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767198E9">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_Toc31092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4.1  双轨增长格局下的结构性矛盾</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_Toc31092 \h </w:instrText>
          </w:r>
          <w:r>
            <w:rPr>
              <w:rFonts w:hint="eastAsia" w:ascii="黑体" w:hAnsi="黑体" w:eastAsia="黑体" w:cs="黑体"/>
            </w:rPr>
            <w:fldChar w:fldCharType="separate"/>
          </w:r>
          <w:r>
            <w:rPr>
              <w:rFonts w:hint="eastAsia" w:ascii="黑体" w:hAnsi="黑体" w:eastAsia="黑体" w:cs="黑体"/>
            </w:rPr>
            <w:t>21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463FC86">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_Toc25803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4.2  地理集聚与区域协同的矛盾</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_Toc25803 \h </w:instrText>
          </w:r>
          <w:r>
            <w:rPr>
              <w:rFonts w:hint="eastAsia" w:ascii="黑体" w:hAnsi="黑体" w:eastAsia="黑体" w:cs="黑体"/>
            </w:rPr>
            <w:fldChar w:fldCharType="separate"/>
          </w:r>
          <w:r>
            <w:rPr>
              <w:rFonts w:hint="eastAsia" w:ascii="黑体" w:hAnsi="黑体" w:eastAsia="黑体" w:cs="黑体"/>
            </w:rPr>
            <w:t>22</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07DA0077">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_Toc8005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4</w:t>
          </w:r>
          <w:r>
            <w:rPr>
              <w:rFonts w:hint="eastAsia" w:ascii="黑体" w:hAnsi="黑体" w:eastAsia="黑体" w:cs="黑体"/>
              <w:bCs/>
              <w:szCs w:val="28"/>
            </w:rPr>
            <w:t>.3</w:t>
          </w:r>
          <w:r>
            <w:rPr>
              <w:rFonts w:hint="eastAsia" w:ascii="黑体" w:hAnsi="黑体" w:eastAsia="黑体" w:cs="黑体"/>
              <w:bCs/>
              <w:szCs w:val="28"/>
              <w:lang w:val="en-US" w:eastAsia="zh-CN"/>
            </w:rPr>
            <w:t xml:space="preserve"> </w:t>
          </w:r>
          <w:r>
            <w:rPr>
              <w:rFonts w:hint="eastAsia" w:ascii="黑体" w:hAnsi="黑体" w:eastAsia="黑体" w:cs="黑体"/>
              <w:bCs/>
              <w:szCs w:val="28"/>
            </w:rPr>
            <w:t xml:space="preserve"> 渠道升级与制度瓶颈的冲突</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_Toc8005 \h </w:instrText>
          </w:r>
          <w:r>
            <w:rPr>
              <w:rFonts w:hint="eastAsia" w:ascii="黑体" w:hAnsi="黑体" w:eastAsia="黑体" w:cs="黑体"/>
            </w:rPr>
            <w:fldChar w:fldCharType="separate"/>
          </w:r>
          <w:r>
            <w:rPr>
              <w:rFonts w:hint="eastAsia" w:ascii="黑体" w:hAnsi="黑体" w:eastAsia="黑体" w:cs="黑体"/>
            </w:rPr>
            <w:t>23</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73BA4FC4">
          <w:pPr>
            <w:pStyle w:val="12"/>
            <w:tabs>
              <w:tab w:val="right" w:leader="dot" w:pos="8504"/>
            </w:tabs>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_Toc7240 </w:instrText>
          </w:r>
          <w:r>
            <w:rPr>
              <w:rFonts w:hint="eastAsia" w:ascii="黑体" w:hAnsi="黑体" w:eastAsia="黑体" w:cs="黑体"/>
              <w:lang w:val="en-US" w:eastAsia="zh-CN"/>
            </w:rPr>
            <w:fldChar w:fldCharType="separate"/>
          </w:r>
          <w:r>
            <w:rPr>
              <w:rFonts w:hint="eastAsia" w:ascii="黑体" w:hAnsi="黑体" w:eastAsia="黑体" w:cs="黑体"/>
              <w:bCs/>
              <w:szCs w:val="30"/>
              <w:lang w:val="en-US" w:eastAsia="zh-CN"/>
            </w:rPr>
            <w:t>第5章</w:t>
          </w:r>
          <w:r>
            <w:rPr>
              <w:rFonts w:hint="eastAsia" w:ascii="黑体" w:hAnsi="黑体" w:eastAsia="黑体" w:cs="黑体"/>
              <w:bCs/>
              <w:szCs w:val="30"/>
            </w:rPr>
            <w:t xml:space="preserve"> </w:t>
          </w:r>
          <w:r>
            <w:rPr>
              <w:rFonts w:hint="eastAsia" w:ascii="黑体" w:hAnsi="黑体" w:eastAsia="黑体" w:cs="黑体"/>
              <w:bCs/>
              <w:szCs w:val="30"/>
              <w:lang w:val="en-US" w:eastAsia="zh-CN"/>
            </w:rPr>
            <w:t xml:space="preserve"> 中中国对俄罗斯农产品出口的</w:t>
          </w:r>
          <w:r>
            <w:rPr>
              <w:rFonts w:hint="eastAsia" w:ascii="黑体" w:hAnsi="黑体" w:eastAsia="黑体" w:cs="黑体"/>
              <w:bCs/>
              <w:szCs w:val="30"/>
            </w:rPr>
            <w:t>潜力与趋势预测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_Toc7240 \h </w:instrText>
          </w:r>
          <w:r>
            <w:rPr>
              <w:rFonts w:hint="eastAsia" w:ascii="黑体" w:hAnsi="黑体" w:eastAsia="黑体" w:cs="黑体"/>
            </w:rPr>
            <w:fldChar w:fldCharType="separate"/>
          </w:r>
          <w:r>
            <w:rPr>
              <w:rFonts w:hint="eastAsia" w:ascii="黑体" w:hAnsi="黑体" w:eastAsia="黑体" w:cs="黑体"/>
            </w:rPr>
            <w:t>24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821B5DB">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_Toc31260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5.1  俄罗斯农产品市场需求潜力分析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_Toc31260 \h </w:instrText>
          </w:r>
          <w:r>
            <w:rPr>
              <w:rFonts w:hint="eastAsia" w:ascii="黑体" w:hAnsi="黑体" w:eastAsia="黑体" w:cs="黑体"/>
            </w:rPr>
            <w:fldChar w:fldCharType="separate"/>
          </w:r>
          <w:r>
            <w:rPr>
              <w:rFonts w:hint="eastAsia" w:ascii="黑体" w:hAnsi="黑体" w:eastAsia="黑体" w:cs="黑体"/>
            </w:rPr>
            <w:t>24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83EF5CA">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_Toc4982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5.1.1  俄罗斯主要农产品需求缺口与进口依赖度</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_Toc4982 \h </w:instrText>
          </w:r>
          <w:r>
            <w:rPr>
              <w:rFonts w:hint="eastAsia" w:ascii="黑体" w:hAnsi="黑体" w:eastAsia="黑体" w:cs="黑体"/>
            </w:rPr>
            <w:fldChar w:fldCharType="separate"/>
          </w:r>
          <w:r>
            <w:rPr>
              <w:rFonts w:hint="eastAsia" w:ascii="黑体" w:hAnsi="黑体" w:eastAsia="黑体" w:cs="黑体"/>
            </w:rPr>
            <w:t>24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2498138">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_Toc23188 </w:instrText>
          </w:r>
          <w:r>
            <w:rPr>
              <w:rFonts w:hint="eastAsia" w:ascii="黑体" w:hAnsi="黑体" w:eastAsia="黑体" w:cs="黑体"/>
              <w:lang w:val="en-US" w:eastAsia="zh-CN"/>
            </w:rPr>
            <w:fldChar w:fldCharType="separate"/>
          </w:r>
          <w:r>
            <w:rPr>
              <w:rFonts w:hint="eastAsia" w:ascii="黑体" w:hAnsi="黑体" w:eastAsia="黑体" w:cs="黑体"/>
              <w:bCs/>
              <w:kern w:val="2"/>
              <w:lang w:val="en-US" w:eastAsia="zh-CN"/>
            </w:rPr>
            <w:t>5.1.2  消费升级驱动的细分市场需求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_Toc23188 \h </w:instrText>
          </w:r>
          <w:r>
            <w:rPr>
              <w:rFonts w:hint="eastAsia" w:ascii="黑体" w:hAnsi="黑体" w:eastAsia="黑体" w:cs="黑体"/>
            </w:rPr>
            <w:fldChar w:fldCharType="separate"/>
          </w:r>
          <w:r>
            <w:rPr>
              <w:rFonts w:hint="eastAsia" w:ascii="黑体" w:hAnsi="黑体" w:eastAsia="黑体" w:cs="黑体"/>
            </w:rPr>
            <w:t>25</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A9E1650">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_Toc2218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5.1.3  西方制裁下的替代性需求增长空间</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_Toc2218 \h </w:instrText>
          </w:r>
          <w:r>
            <w:rPr>
              <w:rFonts w:hint="eastAsia" w:ascii="黑体" w:hAnsi="黑体" w:eastAsia="黑体" w:cs="黑体"/>
            </w:rPr>
            <w:fldChar w:fldCharType="separate"/>
          </w:r>
          <w:r>
            <w:rPr>
              <w:rFonts w:hint="eastAsia" w:ascii="黑体" w:hAnsi="黑体" w:eastAsia="黑体" w:cs="黑体"/>
            </w:rPr>
            <w:t>26</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392731F8">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_Toc32070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5.2  中国出口的潜在增长领域</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_Toc32070 \h </w:instrText>
          </w:r>
          <w:r>
            <w:rPr>
              <w:rFonts w:hint="eastAsia" w:ascii="黑体" w:hAnsi="黑体" w:eastAsia="黑体" w:cs="黑体"/>
            </w:rPr>
            <w:fldChar w:fldCharType="separate"/>
          </w:r>
          <w:r>
            <w:rPr>
              <w:rFonts w:hint="eastAsia" w:ascii="黑体" w:hAnsi="黑体" w:eastAsia="黑体" w:cs="黑体"/>
            </w:rPr>
            <w:t>27</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18618549">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_Toc18247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5.2.1  高附加值农产品出口机会</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_Toc18247 \h </w:instrText>
          </w:r>
          <w:r>
            <w:rPr>
              <w:rFonts w:hint="eastAsia" w:ascii="黑体" w:hAnsi="黑体" w:eastAsia="黑体" w:cs="黑体"/>
            </w:rPr>
            <w:fldChar w:fldCharType="separate"/>
          </w:r>
          <w:r>
            <w:rPr>
              <w:rFonts w:hint="eastAsia" w:ascii="黑体" w:hAnsi="黑体" w:eastAsia="黑体" w:cs="黑体"/>
            </w:rPr>
            <w:t>27</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30E834C8">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_Toc17527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5.2.2  区域市场差异化布局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_Toc17527 \h </w:instrText>
          </w:r>
          <w:r>
            <w:rPr>
              <w:rFonts w:hint="eastAsia" w:ascii="黑体" w:hAnsi="黑体" w:eastAsia="黑体" w:cs="黑体"/>
            </w:rPr>
            <w:fldChar w:fldCharType="separate"/>
          </w:r>
          <w:r>
            <w:rPr>
              <w:rFonts w:hint="eastAsia" w:ascii="黑体" w:hAnsi="黑体" w:eastAsia="黑体" w:cs="黑体"/>
            </w:rPr>
            <w:t>28</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EB035DA">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_Toc834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5.2.3  技术赋能出口</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_Toc834 \h </w:instrText>
          </w:r>
          <w:r>
            <w:rPr>
              <w:rFonts w:hint="eastAsia" w:ascii="黑体" w:hAnsi="黑体" w:eastAsia="黑体" w:cs="黑体"/>
            </w:rPr>
            <w:fldChar w:fldCharType="separate"/>
          </w:r>
          <w:r>
            <w:rPr>
              <w:rFonts w:hint="eastAsia" w:ascii="黑体" w:hAnsi="黑体" w:eastAsia="黑体" w:cs="黑体"/>
            </w:rPr>
            <w:t>28</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5F4FF2F">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_Toc3068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5.3  未来出口趋势预测与情景模拟</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_Toc3068 \h </w:instrText>
          </w:r>
          <w:r>
            <w:rPr>
              <w:rFonts w:hint="eastAsia" w:ascii="黑体" w:hAnsi="黑体" w:eastAsia="黑体" w:cs="黑体"/>
            </w:rPr>
            <w:fldChar w:fldCharType="separate"/>
          </w:r>
          <w:r>
            <w:rPr>
              <w:rFonts w:hint="eastAsia" w:ascii="黑体" w:hAnsi="黑体" w:eastAsia="黑体" w:cs="黑体"/>
            </w:rPr>
            <w:t>29</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2301ED18">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_Toc10732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5.3.1  短期趋势</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_Toc10732 \h </w:instrText>
          </w:r>
          <w:r>
            <w:rPr>
              <w:rFonts w:hint="eastAsia" w:ascii="黑体" w:hAnsi="黑体" w:eastAsia="黑体" w:cs="黑体"/>
            </w:rPr>
            <w:fldChar w:fldCharType="separate"/>
          </w:r>
          <w:r>
            <w:rPr>
              <w:rFonts w:hint="eastAsia" w:ascii="黑体" w:hAnsi="黑体" w:eastAsia="黑体" w:cs="黑体"/>
            </w:rPr>
            <w:t>29</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56F43A04">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_Toc20848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5.3.2  长期趋势</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_Toc20848 \h </w:instrText>
          </w:r>
          <w:r>
            <w:rPr>
              <w:rFonts w:hint="eastAsia" w:ascii="黑体" w:hAnsi="黑体" w:eastAsia="黑体" w:cs="黑体"/>
            </w:rPr>
            <w:fldChar w:fldCharType="separate"/>
          </w:r>
          <w:r>
            <w:rPr>
              <w:rFonts w:hint="eastAsia" w:ascii="黑体" w:hAnsi="黑体" w:eastAsia="黑体" w:cs="黑体"/>
            </w:rPr>
            <w:t>29</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19EBE727">
          <w:pPr>
            <w:pStyle w:val="12"/>
            <w:tabs>
              <w:tab w:val="right" w:leader="dot" w:pos="8504"/>
            </w:tabs>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_Toc6616 </w:instrText>
          </w:r>
          <w:r>
            <w:rPr>
              <w:rFonts w:hint="eastAsia" w:ascii="黑体" w:hAnsi="黑体" w:eastAsia="黑体" w:cs="黑体"/>
              <w:lang w:val="en-US" w:eastAsia="zh-CN"/>
            </w:rPr>
            <w:fldChar w:fldCharType="separate"/>
          </w:r>
          <w:r>
            <w:rPr>
              <w:rFonts w:hint="eastAsia" w:ascii="黑体" w:hAnsi="黑体" w:eastAsia="黑体" w:cs="黑体"/>
              <w:bCs/>
              <w:szCs w:val="30"/>
              <w:lang w:val="en-US" w:eastAsia="zh-CN"/>
            </w:rPr>
            <w:t>第6章</w:t>
          </w:r>
          <w:r>
            <w:rPr>
              <w:rFonts w:hint="eastAsia" w:ascii="黑体" w:hAnsi="黑体" w:eastAsia="黑体" w:cs="黑体"/>
              <w:bCs/>
              <w:szCs w:val="30"/>
            </w:rPr>
            <w:t xml:space="preserve"> </w:t>
          </w:r>
          <w:r>
            <w:rPr>
              <w:rFonts w:hint="eastAsia" w:ascii="黑体" w:hAnsi="黑体" w:eastAsia="黑体" w:cs="黑体"/>
              <w:bCs/>
              <w:szCs w:val="30"/>
              <w:lang w:val="en-US" w:eastAsia="zh-CN"/>
            </w:rPr>
            <w:t xml:space="preserve"> 中国对俄罗斯农产品出口的对策建议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_Toc6616 \h </w:instrText>
          </w:r>
          <w:r>
            <w:rPr>
              <w:rFonts w:hint="eastAsia" w:ascii="黑体" w:hAnsi="黑体" w:eastAsia="黑体" w:cs="黑体"/>
            </w:rPr>
            <w:fldChar w:fldCharType="separate"/>
          </w:r>
          <w:r>
            <w:rPr>
              <w:rFonts w:hint="eastAsia" w:ascii="黑体" w:hAnsi="黑体" w:eastAsia="黑体" w:cs="黑体"/>
            </w:rPr>
            <w:t>30</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667295CE">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_Toc31477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6.1  政策层面的优化建议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_Toc31477 \h </w:instrText>
          </w:r>
          <w:r>
            <w:rPr>
              <w:rFonts w:hint="eastAsia" w:ascii="黑体" w:hAnsi="黑体" w:eastAsia="黑体" w:cs="黑体"/>
            </w:rPr>
            <w:fldChar w:fldCharType="separate"/>
          </w:r>
          <w:r>
            <w:rPr>
              <w:rFonts w:hint="eastAsia" w:ascii="黑体" w:hAnsi="黑体" w:eastAsia="黑体" w:cs="黑体"/>
            </w:rPr>
            <w:t>30</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664FDA64">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_Toc785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6.1.1  推动双边贸易协议与检验检疫互认机制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_Toc785 \h </w:instrText>
          </w:r>
          <w:r>
            <w:rPr>
              <w:rFonts w:hint="eastAsia" w:ascii="黑体" w:hAnsi="黑体" w:eastAsia="黑体" w:cs="黑体"/>
            </w:rPr>
            <w:fldChar w:fldCharType="separate"/>
          </w:r>
          <w:r>
            <w:rPr>
              <w:rFonts w:hint="eastAsia" w:ascii="黑体" w:hAnsi="黑体" w:eastAsia="黑体" w:cs="黑体"/>
            </w:rPr>
            <w:t>30</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6D40C4A4">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_Toc6417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6.1.2  强化金融与物流支持体系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_Toc6417 \h </w:instrText>
          </w:r>
          <w:r>
            <w:rPr>
              <w:rFonts w:hint="eastAsia" w:ascii="黑体" w:hAnsi="黑体" w:eastAsia="黑体" w:cs="黑体"/>
            </w:rPr>
            <w:fldChar w:fldCharType="separate"/>
          </w:r>
          <w:r>
            <w:rPr>
              <w:rFonts w:hint="eastAsia" w:ascii="黑体" w:hAnsi="黑体" w:eastAsia="黑体" w:cs="黑体"/>
            </w:rPr>
            <w:t>31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57A885B4">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_Toc31241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6.2  企业层面的战略调整建议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_Toc31241 \h </w:instrText>
          </w:r>
          <w:r>
            <w:rPr>
              <w:rFonts w:hint="eastAsia" w:ascii="黑体" w:hAnsi="黑体" w:eastAsia="黑体" w:cs="黑体"/>
            </w:rPr>
            <w:fldChar w:fldCharType="separate"/>
          </w:r>
          <w:r>
            <w:rPr>
              <w:rFonts w:hint="eastAsia" w:ascii="黑体" w:hAnsi="黑体" w:eastAsia="黑体" w:cs="黑体"/>
            </w:rPr>
            <w:t>31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7416B072">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_Toc9321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6.2.1  市场精准化定位与产品创新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_Toc9321 \h </w:instrText>
          </w:r>
          <w:r>
            <w:rPr>
              <w:rFonts w:hint="eastAsia" w:ascii="黑体" w:hAnsi="黑体" w:eastAsia="黑体" w:cs="黑体"/>
            </w:rPr>
            <w:fldChar w:fldCharType="separate"/>
          </w:r>
          <w:r>
            <w:rPr>
              <w:rFonts w:hint="eastAsia" w:ascii="黑体" w:hAnsi="黑体" w:eastAsia="黑体" w:cs="黑体"/>
            </w:rPr>
            <w:t>31</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0A7CF8A8">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_Toc23263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6.2.2  供应链与风险管理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_Toc23263 \h </w:instrText>
          </w:r>
          <w:r>
            <w:rPr>
              <w:rFonts w:hint="eastAsia" w:ascii="黑体" w:hAnsi="黑体" w:eastAsia="黑体" w:cs="黑体"/>
            </w:rPr>
            <w:fldChar w:fldCharType="separate"/>
          </w:r>
          <w:r>
            <w:rPr>
              <w:rFonts w:hint="eastAsia" w:ascii="黑体" w:hAnsi="黑体" w:eastAsia="黑体" w:cs="黑体"/>
            </w:rPr>
            <w:t>32</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65EC33EC">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_Toc32364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6.3  行业协作与风险应对建议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_Toc32364 \h </w:instrText>
          </w:r>
          <w:r>
            <w:rPr>
              <w:rFonts w:hint="eastAsia" w:ascii="黑体" w:hAnsi="黑体" w:eastAsia="黑体" w:cs="黑体"/>
            </w:rPr>
            <w:fldChar w:fldCharType="separate"/>
          </w:r>
          <w:r>
            <w:rPr>
              <w:rFonts w:hint="eastAsia" w:ascii="黑体" w:hAnsi="黑体" w:eastAsia="黑体" w:cs="黑体"/>
            </w:rPr>
            <w:t>32</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5F2A62E">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_Toc18412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6.3.1  构建对俄出口产业联盟</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_Toc18412 \h </w:instrText>
          </w:r>
          <w:r>
            <w:rPr>
              <w:rFonts w:hint="eastAsia" w:ascii="黑体" w:hAnsi="黑体" w:eastAsia="黑体" w:cs="黑体"/>
            </w:rPr>
            <w:fldChar w:fldCharType="separate"/>
          </w:r>
          <w:r>
            <w:rPr>
              <w:rFonts w:hint="eastAsia" w:ascii="黑体" w:hAnsi="黑体" w:eastAsia="黑体" w:cs="黑体"/>
            </w:rPr>
            <w:t>32</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37CDD01A">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_Toc29731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6.3.2  地缘政治与质量风险防控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_Toc29731 \h </w:instrText>
          </w:r>
          <w:r>
            <w:rPr>
              <w:rFonts w:hint="eastAsia" w:ascii="黑体" w:hAnsi="黑体" w:eastAsia="黑体" w:cs="黑体"/>
            </w:rPr>
            <w:fldChar w:fldCharType="separate"/>
          </w:r>
          <w:r>
            <w:rPr>
              <w:rFonts w:hint="eastAsia" w:ascii="黑体" w:hAnsi="黑体" w:eastAsia="黑体" w:cs="黑体"/>
            </w:rPr>
            <w:t>32</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5FD29563">
          <w:pPr>
            <w:pStyle w:val="12"/>
            <w:tabs>
              <w:tab w:val="right" w:leader="dot" w:pos="8504"/>
            </w:tabs>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_Toc9666 </w:instrText>
          </w:r>
          <w:r>
            <w:rPr>
              <w:rFonts w:hint="eastAsia" w:ascii="黑体" w:hAnsi="黑体" w:eastAsia="黑体" w:cs="黑体"/>
              <w:lang w:val="en-US" w:eastAsia="zh-CN"/>
            </w:rPr>
            <w:fldChar w:fldCharType="separate"/>
          </w:r>
          <w:r>
            <w:rPr>
              <w:rFonts w:hint="eastAsia" w:ascii="黑体" w:hAnsi="黑体" w:eastAsia="黑体" w:cs="黑体"/>
              <w:bCs/>
              <w:szCs w:val="30"/>
              <w:lang w:val="en-US" w:eastAsia="zh-CN"/>
            </w:rPr>
            <w:t>第7章</w:t>
          </w:r>
          <w:r>
            <w:rPr>
              <w:rFonts w:hint="eastAsia" w:ascii="黑体" w:hAnsi="黑体" w:eastAsia="黑体" w:cs="黑体"/>
              <w:bCs/>
              <w:szCs w:val="30"/>
            </w:rPr>
            <w:t xml:space="preserve"> </w:t>
          </w:r>
          <w:r>
            <w:rPr>
              <w:rFonts w:hint="eastAsia" w:ascii="黑体" w:hAnsi="黑体" w:eastAsia="黑体" w:cs="黑体"/>
              <w:bCs/>
              <w:szCs w:val="30"/>
              <w:lang w:val="en-US" w:eastAsia="zh-CN"/>
            </w:rPr>
            <w:t xml:space="preserve"> </w:t>
          </w:r>
          <w:r>
            <w:rPr>
              <w:rFonts w:hint="eastAsia" w:ascii="黑体" w:hAnsi="黑体" w:eastAsia="黑体" w:cs="黑体"/>
              <w:bCs/>
              <w:szCs w:val="30"/>
            </w:rPr>
            <w:t>结论和展望</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_Toc9666 \h </w:instrText>
          </w:r>
          <w:r>
            <w:rPr>
              <w:rFonts w:hint="eastAsia" w:ascii="黑体" w:hAnsi="黑体" w:eastAsia="黑体" w:cs="黑体"/>
            </w:rPr>
            <w:fldChar w:fldCharType="separate"/>
          </w:r>
          <w:r>
            <w:rPr>
              <w:rFonts w:hint="eastAsia" w:ascii="黑体" w:hAnsi="黑体" w:eastAsia="黑体" w:cs="黑体"/>
            </w:rPr>
            <w:t>33</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17B688CE">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_Toc15562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7.1  总结</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_Toc15562 \h </w:instrText>
          </w:r>
          <w:r>
            <w:rPr>
              <w:rFonts w:hint="eastAsia" w:ascii="黑体" w:hAnsi="黑体" w:eastAsia="黑体" w:cs="黑体"/>
            </w:rPr>
            <w:fldChar w:fldCharType="separate"/>
          </w:r>
          <w:r>
            <w:rPr>
              <w:rFonts w:hint="eastAsia" w:ascii="黑体" w:hAnsi="黑体" w:eastAsia="黑体" w:cs="黑体"/>
            </w:rPr>
            <w:t>33</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1CB26321">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_Toc18422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7.1.1  主要研究发现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_Toc18422 \h </w:instrText>
          </w:r>
          <w:r>
            <w:rPr>
              <w:rFonts w:hint="eastAsia" w:ascii="黑体" w:hAnsi="黑体" w:eastAsia="黑体" w:cs="黑体"/>
            </w:rPr>
            <w:fldChar w:fldCharType="separate"/>
          </w:r>
          <w:r>
            <w:rPr>
              <w:rFonts w:hint="eastAsia" w:ascii="黑体" w:hAnsi="黑体" w:eastAsia="黑体" w:cs="黑体"/>
            </w:rPr>
            <w:t>33</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3B22DEE9">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_Toc31192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7.1.2  对中过对俄罗斯农产品出口贸易的整体评价</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_Toc31192 \h </w:instrText>
          </w:r>
          <w:r>
            <w:rPr>
              <w:rFonts w:hint="eastAsia" w:ascii="黑体" w:hAnsi="黑体" w:eastAsia="黑体" w:cs="黑体"/>
            </w:rPr>
            <w:fldChar w:fldCharType="separate"/>
          </w:r>
          <w:r>
            <w:rPr>
              <w:rFonts w:hint="eastAsia" w:ascii="黑体" w:hAnsi="黑体" w:eastAsia="黑体" w:cs="黑体"/>
            </w:rPr>
            <w:t>34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4B7F75A">
          <w:pPr>
            <w:pStyle w:val="13"/>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_Toc23920 </w:instrText>
          </w:r>
          <w:r>
            <w:rPr>
              <w:rFonts w:hint="eastAsia" w:ascii="黑体" w:hAnsi="黑体" w:eastAsia="黑体" w:cs="黑体"/>
              <w:lang w:val="en-US" w:eastAsia="zh-CN"/>
            </w:rPr>
            <w:fldChar w:fldCharType="separate"/>
          </w:r>
          <w:r>
            <w:rPr>
              <w:rFonts w:hint="eastAsia" w:ascii="黑体" w:hAnsi="黑体" w:eastAsia="黑体" w:cs="黑体"/>
              <w:bCs/>
              <w:szCs w:val="28"/>
              <w:lang w:val="en-US" w:eastAsia="zh-CN"/>
            </w:rPr>
            <w:t>7.2  未来展望</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_Toc23920 \h </w:instrText>
          </w:r>
          <w:r>
            <w:rPr>
              <w:rFonts w:hint="eastAsia" w:ascii="黑体" w:hAnsi="黑体" w:eastAsia="黑体" w:cs="黑体"/>
            </w:rPr>
            <w:fldChar w:fldCharType="separate"/>
          </w:r>
          <w:r>
            <w:rPr>
              <w:rFonts w:hint="eastAsia" w:ascii="黑体" w:hAnsi="黑体" w:eastAsia="黑体" w:cs="黑体"/>
            </w:rPr>
            <w:t>34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467052F3">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_Toc11424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7.2.1  研究的局限性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_Toc11424 \h </w:instrText>
          </w:r>
          <w:r>
            <w:rPr>
              <w:rFonts w:hint="eastAsia" w:ascii="黑体" w:hAnsi="黑体" w:eastAsia="黑体" w:cs="黑体"/>
            </w:rPr>
            <w:fldChar w:fldCharType="separate"/>
          </w:r>
          <w:r>
            <w:rPr>
              <w:rFonts w:hint="eastAsia" w:ascii="黑体" w:hAnsi="黑体" w:eastAsia="黑体" w:cs="黑体"/>
            </w:rPr>
            <w:t>34</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146BF8BF">
          <w:pPr>
            <w:pStyle w:val="9"/>
            <w:tabs>
              <w:tab w:val="right" w:leader="dot" w:pos="8504"/>
            </w:tabs>
            <w:ind w:left="0" w:leftChars="0" w:firstLine="0" w:firstLineChars="0"/>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_Toc24603 </w:instrText>
          </w:r>
          <w:r>
            <w:rPr>
              <w:rFonts w:hint="eastAsia" w:ascii="黑体" w:hAnsi="黑体" w:eastAsia="黑体" w:cs="黑体"/>
              <w:lang w:val="en-US" w:eastAsia="zh-CN"/>
            </w:rPr>
            <w:fldChar w:fldCharType="separate"/>
          </w:r>
          <w:r>
            <w:rPr>
              <w:rFonts w:hint="eastAsia" w:ascii="黑体" w:hAnsi="黑体" w:eastAsia="黑体" w:cs="黑体"/>
              <w:bCs/>
              <w:kern w:val="2"/>
              <w:szCs w:val="24"/>
              <w:lang w:val="en-US" w:eastAsia="zh-CN" w:bidi="ar-SA"/>
            </w:rPr>
            <w:t>7.2.2  后续研究的方向</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_Toc24603 \h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6E3DA5B9">
          <w:pPr>
            <w:pStyle w:val="12"/>
            <w:tabs>
              <w:tab w:val="right" w:leader="dot" w:pos="8504"/>
            </w:tabs>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_Toc30135 </w:instrText>
          </w:r>
          <w:r>
            <w:rPr>
              <w:rFonts w:hint="eastAsia" w:ascii="黑体" w:hAnsi="黑体" w:eastAsia="黑体" w:cs="黑体"/>
              <w:lang w:val="en-US" w:eastAsia="zh-CN"/>
            </w:rPr>
            <w:fldChar w:fldCharType="separate"/>
          </w:r>
          <w:r>
            <w:rPr>
              <w:rFonts w:hint="eastAsia" w:ascii="黑体" w:hAnsi="黑体" w:eastAsia="黑体" w:cs="黑体"/>
              <w:bCs/>
              <w:kern w:val="0"/>
              <w:szCs w:val="32"/>
            </w:rPr>
            <w:t>致谢</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_Toc30135 \h </w:instrText>
          </w:r>
          <w:r>
            <w:rPr>
              <w:rFonts w:hint="eastAsia" w:ascii="黑体" w:hAnsi="黑体" w:eastAsia="黑体" w:cs="黑体"/>
            </w:rPr>
            <w:fldChar w:fldCharType="separate"/>
          </w:r>
          <w:r>
            <w:rPr>
              <w:rFonts w:hint="eastAsia" w:ascii="黑体" w:hAnsi="黑体" w:eastAsia="黑体" w:cs="黑体"/>
            </w:rPr>
            <w:t>39</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0ED38CA2">
          <w:pPr>
            <w:pStyle w:val="12"/>
            <w:tabs>
              <w:tab w:val="right" w:leader="dot" w:pos="8504"/>
            </w:tabs>
            <w:jc w:val="both"/>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_Toc11047 </w:instrText>
          </w:r>
          <w:r>
            <w:rPr>
              <w:rFonts w:hint="eastAsia" w:ascii="黑体" w:hAnsi="黑体" w:eastAsia="黑体" w:cs="黑体"/>
              <w:lang w:val="en-US" w:eastAsia="zh-CN"/>
            </w:rPr>
            <w:fldChar w:fldCharType="separate"/>
          </w:r>
          <w:r>
            <w:rPr>
              <w:rFonts w:hint="eastAsia" w:ascii="黑体" w:hAnsi="黑体" w:eastAsia="黑体" w:cs="黑体"/>
              <w:bCs/>
              <w:szCs w:val="21"/>
            </w:rPr>
            <w:t>参考文献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_Toc11047 \h </w:instrText>
          </w:r>
          <w:r>
            <w:rPr>
              <w:rFonts w:hint="eastAsia" w:ascii="黑体" w:hAnsi="黑体" w:eastAsia="黑体" w:cs="黑体"/>
            </w:rPr>
            <w:fldChar w:fldCharType="separate"/>
          </w:r>
          <w:r>
            <w:rPr>
              <w:rFonts w:hint="eastAsia" w:ascii="黑体" w:hAnsi="黑体" w:eastAsia="黑体" w:cs="黑体"/>
            </w:rPr>
            <w:t>40</w:t>
          </w:r>
          <w:r>
            <w:rPr>
              <w:rFonts w:hint="eastAsia" w:ascii="黑体" w:hAnsi="黑体" w:eastAsia="黑体" w:cs="黑体"/>
            </w:rPr>
            <w:fldChar w:fldCharType="end"/>
          </w:r>
          <w:r>
            <w:rPr>
              <w:rFonts w:hint="eastAsia" w:ascii="黑体" w:hAnsi="黑体" w:eastAsia="黑体" w:cs="黑体"/>
              <w:lang w:val="en-US" w:eastAsia="zh-CN"/>
            </w:rPr>
            <w:fldChar w:fldCharType="end"/>
          </w:r>
        </w:p>
        <w:p w14:paraId="38A7230D">
          <w:pPr>
            <w:jc w:val="both"/>
            <w:rPr>
              <w:rFonts w:hint="eastAsia" w:ascii="Times New Roman" w:hAnsi="Times New Roman" w:eastAsia="Times New Roman" w:cs="Times New Roman"/>
              <w:sz w:val="24"/>
              <w:szCs w:val="24"/>
              <w:lang w:val="en-US" w:eastAsia="zh-CN" w:bidi="ar-SA"/>
            </w:rPr>
          </w:pPr>
          <w:r>
            <w:rPr>
              <w:rFonts w:hint="eastAsia"/>
              <w:lang w:val="en-US" w:eastAsia="zh-CN"/>
            </w:rPr>
            <w:fldChar w:fldCharType="end"/>
          </w:r>
        </w:p>
      </w:sdtContent>
    </w:sdt>
    <w:p w14:paraId="43EFAD39">
      <w:pPr>
        <w:rPr>
          <w:rFonts w:hint="eastAsia" w:ascii="Times New Roman" w:hAnsi="Times New Roman" w:eastAsia="Times New Roman" w:cs="Times New Roman"/>
          <w:sz w:val="24"/>
          <w:szCs w:val="24"/>
          <w:lang w:val="en-US" w:eastAsia="zh-CN" w:bidi="ar-SA"/>
        </w:rPr>
        <w:sectPr>
          <w:headerReference r:id="rId14" w:type="default"/>
          <w:headerReference r:id="rId15" w:type="even"/>
          <w:pgSz w:w="11906" w:h="16838"/>
          <w:pgMar w:top="1984" w:right="1701" w:bottom="1984" w:left="1701" w:header="1559"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14:paraId="624216D3">
      <w:pPr>
        <w:pStyle w:val="2"/>
        <w:keepNext/>
        <w:keepLines/>
        <w:pageBreakBefore w:val="0"/>
        <w:widowControl w:val="0"/>
        <w:kinsoku/>
        <w:wordWrap/>
        <w:overflowPunct/>
        <w:topLinePunct w:val="0"/>
        <w:autoSpaceDE/>
        <w:autoSpaceDN/>
        <w:bidi w:val="0"/>
        <w:adjustRightInd/>
        <w:snapToGrid/>
        <w:spacing w:before="156" w:beforeLines="50" w:after="156" w:afterLines="50" w:line="360" w:lineRule="auto"/>
        <w:jc w:val="center"/>
        <w:textAlignment w:val="auto"/>
        <w:rPr>
          <w:rFonts w:hint="eastAsia" w:ascii="黑体" w:hAnsi="黑体" w:eastAsia="黑体" w:cs="黑体"/>
          <w:b w:val="0"/>
          <w:bCs/>
          <w:sz w:val="30"/>
          <w:szCs w:val="30"/>
        </w:rPr>
      </w:pPr>
      <w:bookmarkStart w:id="4" w:name="_Toc8024"/>
      <w:bookmarkStart w:id="5" w:name="_Toc28484"/>
      <w:bookmarkStart w:id="6" w:name="_Toc7466"/>
      <w:r>
        <w:rPr>
          <w:rFonts w:hint="eastAsia" w:ascii="黑体" w:hAnsi="黑体" w:eastAsia="黑体" w:cs="黑体"/>
          <w:b w:val="0"/>
          <w:bCs/>
          <w:sz w:val="30"/>
          <w:szCs w:val="30"/>
          <w:lang w:val="en-US" w:eastAsia="zh-CN"/>
        </w:rPr>
        <w:t>第</w:t>
      </w:r>
      <w:r>
        <w:rPr>
          <w:rFonts w:hint="eastAsia" w:ascii="黑体" w:hAnsi="黑体" w:eastAsia="黑体" w:cs="黑体"/>
          <w:b w:val="0"/>
          <w:bCs/>
          <w:sz w:val="30"/>
          <w:szCs w:val="30"/>
        </w:rPr>
        <w:t>1</w:t>
      </w:r>
      <w:r>
        <w:rPr>
          <w:rFonts w:hint="eastAsia" w:ascii="黑体" w:hAnsi="黑体" w:eastAsia="黑体" w:cs="黑体"/>
          <w:b w:val="0"/>
          <w:bCs/>
          <w:sz w:val="30"/>
          <w:szCs w:val="30"/>
          <w:lang w:val="en-US" w:eastAsia="zh-CN"/>
        </w:rPr>
        <w:t>章</w:t>
      </w:r>
      <w:r>
        <w:rPr>
          <w:rFonts w:hint="eastAsia" w:ascii="黑体" w:hAnsi="黑体" w:eastAsia="黑体" w:cs="黑体"/>
          <w:b w:val="0"/>
          <w:bCs/>
          <w:sz w:val="30"/>
          <w:szCs w:val="30"/>
        </w:rPr>
        <w:t xml:space="preserve"> </w:t>
      </w:r>
      <w:r>
        <w:rPr>
          <w:rFonts w:hint="eastAsia" w:ascii="黑体" w:hAnsi="黑体" w:eastAsia="黑体" w:cs="黑体"/>
          <w:b w:val="0"/>
          <w:bCs/>
          <w:sz w:val="30"/>
          <w:szCs w:val="30"/>
          <w:lang w:val="en-US" w:eastAsia="zh-CN"/>
        </w:rPr>
        <w:t xml:space="preserve"> </w:t>
      </w:r>
      <w:commentRangeStart w:id="0"/>
      <w:r>
        <w:rPr>
          <w:rFonts w:hint="eastAsia" w:ascii="黑体" w:hAnsi="黑体" w:eastAsia="黑体" w:cs="黑体"/>
          <w:b w:val="0"/>
          <w:bCs/>
          <w:sz w:val="30"/>
          <w:szCs w:val="30"/>
        </w:rPr>
        <w:t>绪论</w:t>
      </w:r>
      <w:commentRangeEnd w:id="0"/>
      <w:r>
        <w:commentReference w:id="0"/>
      </w:r>
      <w:bookmarkEnd w:id="4"/>
      <w:bookmarkEnd w:id="5"/>
      <w:bookmarkEnd w:id="6"/>
    </w:p>
    <w:p w14:paraId="733BF370">
      <w:pPr>
        <w:pStyle w:val="24"/>
        <w:widowControl w:val="0"/>
        <w:spacing w:beforeLines="-2147483648" w:beforeAutospacing="0" w:afterLines="-2147483648" w:afterAutospacing="0"/>
        <w:jc w:val="both"/>
        <w:rPr>
          <w:rFonts w:hint="eastAsia" w:cs="Times New Roman"/>
          <w:bCs/>
          <w:kern w:val="2"/>
          <w:lang w:eastAsia="zh-CN"/>
        </w:rPr>
      </w:pPr>
      <w:bookmarkStart w:id="7" w:name="_Toc24193"/>
      <w:bookmarkStart w:id="8" w:name="_Toc1637"/>
      <w:bookmarkStart w:id="9" w:name="_Toc23261"/>
      <w:r>
        <w:rPr>
          <w:rFonts w:cs="Times New Roman"/>
          <w:bCs/>
          <w:kern w:val="2"/>
          <w:lang w:eastAsia="zh-CN"/>
        </w:rPr>
        <w:t>研究背景及意义</w:t>
      </w:r>
      <w:bookmarkEnd w:id="7"/>
      <w:bookmarkEnd w:id="8"/>
      <w:bookmarkEnd w:id="9"/>
    </w:p>
    <w:p w14:paraId="18265C52">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eastAsia="zh-CN"/>
        </w:rPr>
      </w:pPr>
      <w:bookmarkStart w:id="10" w:name="_Toc7824"/>
      <w:bookmarkStart w:id="11" w:name="_Toc320"/>
      <w:bookmarkStart w:id="12" w:name="_Toc26982"/>
      <w:r>
        <w:rPr>
          <w:rFonts w:hint="eastAsia" w:ascii="Times New Roman" w:hAnsi="Times New Roman" w:cs="Times New Roman"/>
          <w:bCs/>
          <w:color w:val="000000"/>
          <w:kern w:val="2"/>
          <w:lang w:eastAsia="zh-CN"/>
        </w:rPr>
        <w:t>1.1.1</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w:t>
      </w:r>
      <w:bookmarkEnd w:id="10"/>
      <w:bookmarkEnd w:id="11"/>
      <w:r>
        <w:rPr>
          <w:rFonts w:hint="eastAsia" w:ascii="Times New Roman" w:hAnsi="Times New Roman" w:cs="Times New Roman"/>
          <w:bCs/>
          <w:color w:val="000000"/>
          <w:kern w:val="2"/>
          <w:lang w:val="en-US" w:eastAsia="zh-CN"/>
        </w:rPr>
        <w:t>研究背景</w:t>
      </w:r>
      <w:bookmarkEnd w:id="12"/>
      <w:bookmarkStart w:id="176" w:name="_GoBack"/>
      <w:bookmarkEnd w:id="176"/>
    </w:p>
    <w:p w14:paraId="2CA7E54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国际农产品贸易格局深度调整，中俄农业合作战略价值凸显</w:t>
      </w:r>
      <w:r>
        <w:rPr>
          <w:rFonts w:hint="eastAsia" w:ascii="宋体" w:hAnsi="宋体" w:eastAsia="宋体" w:cs="宋体"/>
          <w:b w:val="0"/>
          <w:i w:val="0"/>
          <w:color w:val="333333"/>
          <w:sz w:val="24"/>
          <w:szCs w:val="24"/>
          <w:lang w:eastAsia="zh-CN"/>
        </w:rPr>
        <w:t>。</w:t>
      </w:r>
      <w:r>
        <w:rPr>
          <w:rFonts w:hint="default" w:ascii="宋体" w:hAnsi="宋体" w:eastAsia="宋体" w:cs="宋体"/>
          <w:b w:val="0"/>
          <w:i w:val="0"/>
          <w:color w:val="333333"/>
          <w:sz w:val="24"/>
          <w:szCs w:val="24"/>
        </w:rPr>
        <w:t>近年来，全球农产品贸易受地缘政治冲突、气候变化与供应链重构等多重冲击，呈现区域化、集团化发展趋势。2022年俄乌冲突爆发后，俄罗斯遭受西方国家系统性制裁，其农产品进口市场发生结构性转变：欧盟对俄农产品出口额骤降76%（UN Comtrade, 2023），迫使俄罗斯加速“向东看”战略，将中国定位为关键替代性供应方。与此同时，全球粮食安全议题升温，联合国粮农组织（FAO）数据显示，俄罗斯年均谷物进口缺口达480万吨，为中国扩大农产品出口创造战略窗口期。</w:t>
      </w:r>
    </w:p>
    <w:p w14:paraId="334BD44F">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rPr>
        <w:t>中俄农产品贸易面临结构性矛盾，亟需系统性研究破解瓶颈</w:t>
      </w:r>
      <w:r>
        <w:rPr>
          <w:rFonts w:hint="eastAsia" w:ascii="宋体" w:hAnsi="宋体" w:eastAsia="宋体" w:cs="宋体"/>
          <w:b w:val="0"/>
          <w:i w:val="0"/>
          <w:color w:val="333333"/>
          <w:sz w:val="24"/>
          <w:szCs w:val="24"/>
          <w:lang w:eastAsia="zh-CN"/>
        </w:rPr>
        <w:t>。</w:t>
      </w:r>
      <w:r>
        <w:rPr>
          <w:rFonts w:hint="default" w:ascii="宋体" w:hAnsi="宋体" w:eastAsia="宋体" w:cs="宋体"/>
          <w:b w:val="0"/>
          <w:i w:val="0"/>
          <w:color w:val="333333"/>
          <w:sz w:val="24"/>
          <w:szCs w:val="24"/>
        </w:rPr>
        <w:t>尽管贸易规模持续增长，但深层次问题制约可持续发展：其一，出口品类集中度高，大豆、玉米等大宗农产品占比超60%，高附加值加工品不足10%；其二，物流瓶颈突出，中欧班列农产品专列利用率不足30%，边境口岸冷链设施缺口达40万吨（黑龙江省商务厅，2023）；其三，技术性贸易壁垒升级，俄罗斯EAC认证标准与中国GB体系差异导致年均退货损失超2亿美元。在此背景下，科学评估出口潜力、构建风险对冲机制，成为保障中俄农业合作行稳致远的迫切课题。</w:t>
      </w:r>
    </w:p>
    <w:p w14:paraId="19C44C6B">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eastAsia="zh-CN"/>
        </w:rPr>
      </w:pPr>
      <w:bookmarkStart w:id="13" w:name="_Toc24444"/>
      <w:bookmarkStart w:id="14" w:name="_Toc8218"/>
      <w:bookmarkStart w:id="15" w:name="_Toc2321"/>
      <w:r>
        <w:rPr>
          <w:rFonts w:hint="eastAsia" w:ascii="Times New Roman" w:hAnsi="Times New Roman" w:cs="Times New Roman"/>
          <w:bCs/>
          <w:color w:val="000000"/>
          <w:kern w:val="2"/>
          <w:lang w:eastAsia="zh-CN"/>
        </w:rPr>
        <w:t>1.1.2</w:t>
      </w:r>
      <w:r>
        <w:rPr>
          <w:rFonts w:hint="eastAsia" w:ascii="Times New Roman" w:hAnsi="Times New Roman" w:cs="Times New Roman"/>
          <w:bCs/>
          <w:color w:val="000000"/>
          <w:kern w:val="2"/>
          <w:lang w:val="en-US" w:eastAsia="zh-CN"/>
        </w:rPr>
        <w:t xml:space="preserve"> </w:t>
      </w:r>
      <w:bookmarkEnd w:id="13"/>
      <w:bookmarkEnd w:id="14"/>
      <w:r>
        <w:rPr>
          <w:rFonts w:hint="eastAsia" w:ascii="Times New Roman" w:hAnsi="Times New Roman" w:cs="Times New Roman"/>
          <w:bCs/>
          <w:color w:val="000000"/>
          <w:kern w:val="2"/>
          <w:lang w:val="en-US" w:eastAsia="zh-CN"/>
        </w:rPr>
        <w:t>意义</w:t>
      </w:r>
      <w:bookmarkEnd w:id="15"/>
    </w:p>
    <w:p w14:paraId="7B47463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当前从理论层面看，现有研究多集中于中俄农产品贸易的静态互补性分析，而对地缘政治干预、技术性壁垒演变等动态因素的耦合机制关注不足。本研究通过整合国际贸易理论、产业集群理论及地缘经济学，构建“政策-市场-技术”三维动态分析框架，揭示西方制裁、供应链重构等外生变量对中俄农业合作的结构性影响。例如，将俄罗斯“进口替代东移”战略与中国“双循环”政策纳入统一模型，解析两国农业供需的动态适配逻辑，弥补传统研究的静态化局限。同时，提出“本土化供应链嵌入”理论模型，为新兴市场农产品贸易研究提供新的分析视角，推动农业经济学理论体系的拓展。</w:t>
      </w:r>
    </w:p>
    <w:p w14:paraId="6FC195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i w:val="0"/>
          <w:color w:val="333333"/>
          <w:sz w:val="24"/>
          <w:szCs w:val="24"/>
          <w:lang w:val="en-US" w:eastAsia="zh-CN"/>
        </w:rPr>
      </w:pPr>
    </w:p>
    <w:p w14:paraId="0A53F9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333333"/>
          <w:sz w:val="24"/>
          <w:szCs w:val="24"/>
          <w:lang w:val="en-US"/>
        </w:rPr>
      </w:pPr>
      <w:r>
        <w:rPr>
          <w:rFonts w:hint="eastAsia" w:ascii="宋体" w:hAnsi="宋体" w:eastAsia="宋体" w:cs="宋体"/>
          <w:b w:val="0"/>
          <w:i w:val="0"/>
          <w:color w:val="333333"/>
          <w:sz w:val="21"/>
          <w:szCs w:val="21"/>
          <w:lang w:val="en-US" w:eastAsia="zh-CN"/>
        </w:rPr>
        <w:t>表1 中俄农产品贸易核心数据概览</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2547"/>
        <w:gridCol w:w="1580"/>
        <w:gridCol w:w="4857"/>
      </w:tblGrid>
      <w:tr w14:paraId="1872F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bottom"/>
          </w:tcPr>
          <w:p w14:paraId="62C07544">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指标​</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1580"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bottom"/>
          </w:tcPr>
          <w:p w14:paraId="7BDBC6F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​数据</w:t>
            </w:r>
          </w:p>
        </w:tc>
        <w:tc>
          <w:tcPr>
            <w:tcW w:w="4857"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bottom"/>
          </w:tcPr>
          <w:p w14:paraId="583B3E2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​来源​</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55251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bottom"/>
          </w:tcPr>
          <w:p w14:paraId="5493D79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中俄农产品贸易总额</w:t>
            </w:r>
          </w:p>
        </w:tc>
        <w:tc>
          <w:tcPr>
            <w:tcW w:w="1580" w:type="dxa"/>
            <w:tcBorders>
              <w:top w:val="single" w:color="000000" w:sz="4" w:space="0"/>
              <w:left w:val="nil"/>
              <w:bottom w:val="nil"/>
              <w:right w:val="nil"/>
            </w:tcBorders>
            <w:shd w:val="clear" w:color="auto" w:fill="FFFFFF"/>
            <w:tcMar>
              <w:top w:w="180" w:type="dxa"/>
              <w:left w:w="240" w:type="dxa"/>
              <w:bottom w:w="180" w:type="dxa"/>
              <w:right w:w="240" w:type="dxa"/>
            </w:tcMar>
            <w:vAlign w:val="bottom"/>
          </w:tcPr>
          <w:p w14:paraId="40B26EC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80亿美元</w:t>
            </w:r>
          </w:p>
        </w:tc>
        <w:tc>
          <w:tcPr>
            <w:tcW w:w="4857" w:type="dxa"/>
            <w:tcBorders>
              <w:top w:val="single" w:color="000000" w:sz="4" w:space="0"/>
              <w:left w:val="nil"/>
              <w:bottom w:val="nil"/>
              <w:right w:val="nil"/>
            </w:tcBorders>
            <w:shd w:val="clear" w:color="auto" w:fill="FFFFFF"/>
            <w:tcMar>
              <w:top w:w="180" w:type="dxa"/>
              <w:left w:w="240" w:type="dxa"/>
              <w:bottom w:w="180" w:type="dxa"/>
              <w:right w:w="240" w:type="dxa"/>
            </w:tcMar>
            <w:vAlign w:val="bottom"/>
          </w:tcPr>
          <w:p w14:paraId="055ED58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中国海关总署. 中俄农产品贸易统计年报[R]. 2024.</w:t>
            </w:r>
          </w:p>
        </w:tc>
      </w:tr>
      <w:tr w14:paraId="1BB12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bottom"/>
          </w:tcPr>
          <w:p w14:paraId="6A00432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中国蔬菜产量全球占比</w:t>
            </w:r>
          </w:p>
        </w:tc>
        <w:tc>
          <w:tcPr>
            <w:tcW w:w="1580" w:type="dxa"/>
            <w:tcBorders>
              <w:top w:val="nil"/>
              <w:left w:val="nil"/>
              <w:bottom w:val="nil"/>
              <w:right w:val="nil"/>
            </w:tcBorders>
            <w:shd w:val="clear" w:color="auto" w:fill="FFFFFF"/>
            <w:tcMar>
              <w:top w:w="180" w:type="dxa"/>
              <w:left w:w="240" w:type="dxa"/>
              <w:bottom w:w="180" w:type="dxa"/>
              <w:right w:w="240" w:type="dxa"/>
            </w:tcMar>
            <w:vAlign w:val="bottom"/>
          </w:tcPr>
          <w:p w14:paraId="52D283B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58%</w:t>
            </w:r>
          </w:p>
        </w:tc>
        <w:tc>
          <w:tcPr>
            <w:tcW w:w="4857" w:type="dxa"/>
            <w:tcBorders>
              <w:top w:val="nil"/>
              <w:left w:val="nil"/>
              <w:bottom w:val="nil"/>
              <w:right w:val="nil"/>
            </w:tcBorders>
            <w:shd w:val="clear" w:color="auto" w:fill="FFFFFF"/>
            <w:tcMar>
              <w:top w:w="180" w:type="dxa"/>
              <w:left w:w="240" w:type="dxa"/>
              <w:bottom w:w="180" w:type="dxa"/>
              <w:right w:w="240" w:type="dxa"/>
            </w:tcMar>
            <w:vAlign w:val="bottom"/>
          </w:tcPr>
          <w:p w14:paraId="7AA3A84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农业农村部. 中国农业发展报告[R]. 2023.</w:t>
            </w:r>
          </w:p>
        </w:tc>
      </w:tr>
      <w:tr w14:paraId="47A79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bottom"/>
          </w:tcPr>
          <w:p w14:paraId="4DE55AE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中国水果产量全球占比</w:t>
            </w:r>
          </w:p>
        </w:tc>
        <w:tc>
          <w:tcPr>
            <w:tcW w:w="1580" w:type="dxa"/>
            <w:tcBorders>
              <w:top w:val="nil"/>
              <w:left w:val="nil"/>
              <w:bottom w:val="nil"/>
              <w:right w:val="nil"/>
            </w:tcBorders>
            <w:shd w:val="clear" w:color="auto" w:fill="FFFFFF"/>
            <w:tcMar>
              <w:top w:w="180" w:type="dxa"/>
              <w:left w:w="240" w:type="dxa"/>
              <w:bottom w:w="180" w:type="dxa"/>
              <w:right w:w="240" w:type="dxa"/>
            </w:tcMar>
            <w:vAlign w:val="bottom"/>
          </w:tcPr>
          <w:p w14:paraId="7492E8A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32%</w:t>
            </w:r>
          </w:p>
        </w:tc>
        <w:tc>
          <w:tcPr>
            <w:tcW w:w="4857" w:type="dxa"/>
            <w:tcBorders>
              <w:top w:val="nil"/>
              <w:left w:val="nil"/>
              <w:bottom w:val="nil"/>
              <w:right w:val="nil"/>
            </w:tcBorders>
            <w:shd w:val="clear" w:color="auto" w:fill="FFFFFF"/>
            <w:tcMar>
              <w:top w:w="180" w:type="dxa"/>
              <w:left w:w="240" w:type="dxa"/>
              <w:bottom w:w="180" w:type="dxa"/>
              <w:right w:w="240" w:type="dxa"/>
            </w:tcMar>
            <w:vAlign w:val="bottom"/>
          </w:tcPr>
          <w:p w14:paraId="5C56A4F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农业农村部. 中国农业发展报告[R]. 2023.</w:t>
            </w:r>
          </w:p>
        </w:tc>
      </w:tr>
      <w:tr w14:paraId="6DC11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bottom"/>
          </w:tcPr>
          <w:p w14:paraId="52DF1D9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俄罗斯谷物进口缺口</w:t>
            </w:r>
          </w:p>
        </w:tc>
        <w:tc>
          <w:tcPr>
            <w:tcW w:w="1580" w:type="dxa"/>
            <w:tcBorders>
              <w:top w:val="nil"/>
              <w:left w:val="nil"/>
              <w:bottom w:val="nil"/>
              <w:right w:val="nil"/>
            </w:tcBorders>
            <w:shd w:val="clear" w:color="auto" w:fill="FFFFFF"/>
            <w:tcMar>
              <w:top w:w="180" w:type="dxa"/>
              <w:left w:w="240" w:type="dxa"/>
              <w:bottom w:w="180" w:type="dxa"/>
              <w:right w:w="240" w:type="dxa"/>
            </w:tcMar>
            <w:vAlign w:val="bottom"/>
          </w:tcPr>
          <w:p w14:paraId="08806DE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480万吨/年</w:t>
            </w:r>
          </w:p>
        </w:tc>
        <w:tc>
          <w:tcPr>
            <w:tcW w:w="4857" w:type="dxa"/>
            <w:tcBorders>
              <w:top w:val="nil"/>
              <w:left w:val="nil"/>
              <w:bottom w:val="nil"/>
              <w:right w:val="nil"/>
            </w:tcBorders>
            <w:shd w:val="clear" w:color="auto" w:fill="FFFFFF"/>
            <w:tcMar>
              <w:top w:w="180" w:type="dxa"/>
              <w:left w:w="240" w:type="dxa"/>
              <w:bottom w:w="180" w:type="dxa"/>
              <w:right w:w="240" w:type="dxa"/>
            </w:tcMar>
            <w:vAlign w:val="bottom"/>
          </w:tcPr>
          <w:p w14:paraId="3808E04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联合国粮农组织（FAO）. 全球粮食安全评估报告[R]. 2023.</w:t>
            </w:r>
          </w:p>
        </w:tc>
      </w:tr>
      <w:tr w14:paraId="6647E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bottom"/>
          </w:tcPr>
          <w:p w14:paraId="0A5901C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中欧班列农产品专列利用率</w:t>
            </w:r>
          </w:p>
        </w:tc>
        <w:tc>
          <w:tcPr>
            <w:tcW w:w="1580" w:type="dxa"/>
            <w:tcBorders>
              <w:top w:val="nil"/>
              <w:left w:val="nil"/>
              <w:bottom w:val="nil"/>
              <w:right w:val="nil"/>
            </w:tcBorders>
            <w:shd w:val="clear" w:color="auto" w:fill="FFFFFF"/>
            <w:tcMar>
              <w:top w:w="180" w:type="dxa"/>
              <w:left w:w="240" w:type="dxa"/>
              <w:bottom w:w="180" w:type="dxa"/>
              <w:right w:w="240" w:type="dxa"/>
            </w:tcMar>
            <w:vAlign w:val="bottom"/>
          </w:tcPr>
          <w:p w14:paraId="0A47D0B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&lt;30%</w:t>
            </w:r>
          </w:p>
        </w:tc>
        <w:tc>
          <w:tcPr>
            <w:tcW w:w="4857" w:type="dxa"/>
            <w:tcBorders>
              <w:top w:val="nil"/>
              <w:left w:val="nil"/>
              <w:bottom w:val="nil"/>
              <w:right w:val="nil"/>
            </w:tcBorders>
            <w:shd w:val="clear" w:color="auto" w:fill="FFFFFF"/>
            <w:tcMar>
              <w:top w:w="180" w:type="dxa"/>
              <w:left w:w="240" w:type="dxa"/>
              <w:bottom w:w="180" w:type="dxa"/>
              <w:right w:w="240" w:type="dxa"/>
            </w:tcMar>
            <w:vAlign w:val="bottom"/>
          </w:tcPr>
          <w:p w14:paraId="2183C74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黑龙江省商务厅. 对俄贸易物流白皮书[R]. 2023.</w:t>
            </w:r>
          </w:p>
        </w:tc>
      </w:tr>
      <w:tr w14:paraId="75089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bottom"/>
          </w:tcPr>
          <w:p w14:paraId="6E2533A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边境口岸冷链设施缺口</w:t>
            </w:r>
          </w:p>
        </w:tc>
        <w:tc>
          <w:tcPr>
            <w:tcW w:w="1580" w:type="dxa"/>
            <w:tcBorders>
              <w:top w:val="nil"/>
              <w:left w:val="nil"/>
              <w:bottom w:val="nil"/>
              <w:right w:val="nil"/>
            </w:tcBorders>
            <w:shd w:val="clear" w:color="auto" w:fill="FFFFFF"/>
            <w:tcMar>
              <w:top w:w="180" w:type="dxa"/>
              <w:left w:w="240" w:type="dxa"/>
              <w:bottom w:w="180" w:type="dxa"/>
              <w:right w:w="240" w:type="dxa"/>
            </w:tcMar>
            <w:vAlign w:val="bottom"/>
          </w:tcPr>
          <w:p w14:paraId="7FA31FB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40万吨</w:t>
            </w:r>
          </w:p>
        </w:tc>
        <w:tc>
          <w:tcPr>
            <w:tcW w:w="4857" w:type="dxa"/>
            <w:tcBorders>
              <w:top w:val="nil"/>
              <w:left w:val="nil"/>
              <w:bottom w:val="nil"/>
              <w:right w:val="nil"/>
            </w:tcBorders>
            <w:shd w:val="clear" w:color="auto" w:fill="FFFFFF"/>
            <w:tcMar>
              <w:top w:w="180" w:type="dxa"/>
              <w:left w:w="240" w:type="dxa"/>
              <w:bottom w:w="180" w:type="dxa"/>
              <w:right w:w="240" w:type="dxa"/>
            </w:tcMar>
            <w:vAlign w:val="bottom"/>
          </w:tcPr>
          <w:p w14:paraId="14CB76E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黑龙江省商务厅. 对俄贸易物流白皮书[R]. 2023.</w:t>
            </w:r>
          </w:p>
        </w:tc>
      </w:tr>
      <w:tr w14:paraId="56875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bottom"/>
          </w:tcPr>
          <w:p w14:paraId="170B01E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EAC认证导致年退货损失</w:t>
            </w:r>
          </w:p>
        </w:tc>
        <w:tc>
          <w:tcPr>
            <w:tcW w:w="1580" w:type="dxa"/>
            <w:tcBorders>
              <w:top w:val="nil"/>
              <w:left w:val="nil"/>
              <w:bottom w:val="single" w:color="000000" w:sz="12" w:space="0"/>
              <w:right w:val="nil"/>
            </w:tcBorders>
            <w:shd w:val="clear" w:color="auto" w:fill="FFFFFF"/>
            <w:tcMar>
              <w:top w:w="180" w:type="dxa"/>
              <w:left w:w="240" w:type="dxa"/>
              <w:bottom w:w="180" w:type="dxa"/>
              <w:right w:w="240" w:type="dxa"/>
            </w:tcMar>
            <w:vAlign w:val="bottom"/>
          </w:tcPr>
          <w:p w14:paraId="58278CD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2.1亿美元</w:t>
            </w:r>
          </w:p>
        </w:tc>
        <w:tc>
          <w:tcPr>
            <w:tcW w:w="4857" w:type="dxa"/>
            <w:tcBorders>
              <w:top w:val="nil"/>
              <w:left w:val="nil"/>
              <w:bottom w:val="single" w:color="000000" w:sz="12" w:space="0"/>
              <w:right w:val="nil"/>
            </w:tcBorders>
            <w:shd w:val="clear" w:color="auto" w:fill="FFFFFF"/>
            <w:tcMar>
              <w:top w:w="180" w:type="dxa"/>
              <w:left w:w="240" w:type="dxa"/>
              <w:bottom w:w="180" w:type="dxa"/>
              <w:right w:w="240" w:type="dxa"/>
            </w:tcMar>
            <w:vAlign w:val="bottom"/>
          </w:tcPr>
          <w:p w14:paraId="380EEBA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中国标准化研究院. 中俄技术性贸易壁垒研究报告[R]. 2023.</w:t>
            </w:r>
          </w:p>
        </w:tc>
      </w:tr>
    </w:tbl>
    <w:p w14:paraId="1048CDF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在实践层面，本研究服务于国家战略优化与企业决策支持的双重需求。针对国家层面，基于俄罗斯远东地区年均40万吨冷链物流缺口及中欧班列农产品专列利用率不足30%的现状（黑龙江省商务厅，2023），提出跨境冷链枢纽建设与物流效能提升方案，为《中俄远东合作发展规划（2024-2030）》的设施联通目标提供直接依据。针对企业层面，通过量化分析俄罗斯EAC认证体系与中国GB标准的216项技术差异（中国标准化研究院，2023），为企业降低合规风险、减少年均2.1亿美元退货损失提供操作指南，同时明确深加工肉类制品等高附加值品类的利润空间可达大宗商品的3-5倍（中国海关总署，2024），引导出口结构升级。此外，研究成果可为中俄政府间技术互认谈判、边境口岸协作机制完善等提供数据支撑，助力双边合作深化。</w:t>
      </w:r>
    </w:p>
    <w:p w14:paraId="7CDED795">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p>
    <w:p w14:paraId="60B500A1">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p>
    <w:p w14:paraId="1B1919D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p>
    <w:p w14:paraId="07A10D8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333333"/>
          <w:sz w:val="24"/>
          <w:szCs w:val="24"/>
        </w:rPr>
      </w:pPr>
      <w:r>
        <w:rPr>
          <w:rFonts w:hint="eastAsia" w:ascii="宋体" w:hAnsi="宋体" w:eastAsia="宋体" w:cs="宋体"/>
          <w:b w:val="0"/>
          <w:i w:val="0"/>
          <w:color w:val="333333"/>
          <w:sz w:val="21"/>
          <w:szCs w:val="21"/>
          <w:lang w:val="en-US" w:eastAsia="zh-CN"/>
        </w:rPr>
        <w:t>表2 中国对俄农产品出口结构</w:t>
      </w:r>
    </w:p>
    <w:tbl>
      <w:tblPr>
        <w:tblStyle w:val="15"/>
        <w:tblW w:w="0" w:type="auto"/>
        <w:tblInd w:w="29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fixed"/>
        <w:tblCellMar>
          <w:top w:w="0" w:type="dxa"/>
          <w:left w:w="0" w:type="dxa"/>
          <w:bottom w:w="0" w:type="dxa"/>
          <w:right w:w="0" w:type="dxa"/>
        </w:tblCellMar>
      </w:tblPr>
      <w:tblGrid>
        <w:gridCol w:w="2662"/>
        <w:gridCol w:w="1778"/>
        <w:gridCol w:w="3982"/>
      </w:tblGrid>
      <w:tr w14:paraId="67D4A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Header/>
        </w:trPr>
        <w:tc>
          <w:tcPr>
            <w:tcW w:w="2662" w:type="dxa"/>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1AE4B92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kern w:val="0"/>
                <w:sz w:val="21"/>
                <w:szCs w:val="21"/>
                <w:lang w:val="en-US" w:eastAsia="zh-CN" w:bidi="ar"/>
              </w:rPr>
            </w:pPr>
            <w:r>
              <w:rPr>
                <w:rFonts w:hint="default" w:ascii="Segoe UI" w:hAnsi="Segoe UI" w:eastAsia="Segoe UI" w:cs="Segoe UI"/>
                <w:b w:val="0"/>
                <w:bCs/>
                <w:i w:val="0"/>
                <w:iCs w:val="0"/>
                <w:caps w:val="0"/>
                <w:color w:val="000000"/>
                <w:spacing w:val="0"/>
                <w:kern w:val="0"/>
                <w:sz w:val="21"/>
                <w:szCs w:val="21"/>
                <w:lang w:val="en-US" w:eastAsia="zh-CN" w:bidi="ar"/>
              </w:rPr>
              <w:t>​​品类​​</w:t>
            </w:r>
          </w:p>
        </w:tc>
        <w:tc>
          <w:tcPr>
            <w:tcW w:w="1778"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2EFCDCE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kern w:val="0"/>
                <w:sz w:val="21"/>
                <w:szCs w:val="21"/>
                <w:lang w:val="en-US" w:eastAsia="zh-CN" w:bidi="ar"/>
              </w:rPr>
            </w:pPr>
            <w:r>
              <w:rPr>
                <w:rFonts w:hint="default" w:ascii="Segoe UI" w:hAnsi="Segoe UI" w:eastAsia="Segoe UI" w:cs="Segoe UI"/>
                <w:b w:val="0"/>
                <w:bCs/>
                <w:i w:val="0"/>
                <w:iCs w:val="0"/>
                <w:caps w:val="0"/>
                <w:color w:val="000000"/>
                <w:spacing w:val="0"/>
                <w:kern w:val="0"/>
                <w:sz w:val="21"/>
                <w:szCs w:val="21"/>
                <w:lang w:val="en-US" w:eastAsia="zh-CN" w:bidi="ar"/>
              </w:rPr>
              <w:t>出口额占比</w:t>
            </w:r>
          </w:p>
        </w:tc>
        <w:tc>
          <w:tcPr>
            <w:tcW w:w="3982"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22BB75B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kern w:val="0"/>
                <w:sz w:val="21"/>
                <w:szCs w:val="21"/>
                <w:lang w:val="en-US" w:eastAsia="zh-CN" w:bidi="ar"/>
              </w:rPr>
            </w:pPr>
            <w:r>
              <w:rPr>
                <w:rFonts w:hint="default" w:ascii="Segoe UI" w:hAnsi="Segoe UI" w:eastAsia="Segoe UI" w:cs="Segoe UI"/>
                <w:b w:val="0"/>
                <w:bCs/>
                <w:i w:val="0"/>
                <w:iCs w:val="0"/>
                <w:caps w:val="0"/>
                <w:color w:val="000000"/>
                <w:spacing w:val="0"/>
                <w:kern w:val="0"/>
                <w:sz w:val="21"/>
                <w:szCs w:val="21"/>
                <w:lang w:val="en-US" w:eastAsia="zh-CN" w:bidi="ar"/>
              </w:rPr>
              <w:t>​​利润空间（对比大宗商品）​​</w:t>
            </w:r>
          </w:p>
        </w:tc>
      </w:tr>
      <w:tr w14:paraId="731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2662" w:type="dxa"/>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4616007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大豆、玉米等大宗</w:t>
            </w:r>
          </w:p>
        </w:tc>
        <w:tc>
          <w:tcPr>
            <w:tcW w:w="1778" w:type="dxa"/>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388F144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62%</w:t>
            </w:r>
          </w:p>
        </w:tc>
        <w:tc>
          <w:tcPr>
            <w:tcW w:w="3982" w:type="dxa"/>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34CEE0D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基准水平（1x）</w:t>
            </w:r>
          </w:p>
        </w:tc>
      </w:tr>
      <w:tr w14:paraId="25628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2662" w:type="dxa"/>
            <w:tcBorders>
              <w:top w:val="nil"/>
              <w:left w:val="nil"/>
              <w:bottom w:val="nil"/>
              <w:right w:val="nil"/>
            </w:tcBorders>
            <w:shd w:val="clear" w:color="auto" w:fill="FFFFFF"/>
            <w:tcMar>
              <w:top w:w="180" w:type="dxa"/>
              <w:left w:w="240" w:type="dxa"/>
              <w:bottom w:w="180" w:type="dxa"/>
              <w:right w:w="240" w:type="dxa"/>
            </w:tcMar>
            <w:vAlign w:val="center"/>
          </w:tcPr>
          <w:p w14:paraId="33EAD53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蔬菜、水果</w:t>
            </w:r>
          </w:p>
        </w:tc>
        <w:tc>
          <w:tcPr>
            <w:tcW w:w="1778" w:type="dxa"/>
            <w:tcBorders>
              <w:top w:val="nil"/>
              <w:left w:val="nil"/>
              <w:bottom w:val="nil"/>
              <w:right w:val="nil"/>
            </w:tcBorders>
            <w:shd w:val="clear" w:color="auto" w:fill="FFFFFF"/>
            <w:tcMar>
              <w:top w:w="180" w:type="dxa"/>
              <w:left w:w="240" w:type="dxa"/>
              <w:bottom w:w="180" w:type="dxa"/>
              <w:right w:w="240" w:type="dxa"/>
            </w:tcMar>
            <w:vAlign w:val="center"/>
          </w:tcPr>
          <w:p w14:paraId="192CFEF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28%</w:t>
            </w:r>
          </w:p>
        </w:tc>
        <w:tc>
          <w:tcPr>
            <w:tcW w:w="3982" w:type="dxa"/>
            <w:tcBorders>
              <w:top w:val="nil"/>
              <w:left w:val="nil"/>
              <w:bottom w:val="nil"/>
              <w:right w:val="nil"/>
            </w:tcBorders>
            <w:shd w:val="clear" w:color="auto" w:fill="FFFFFF"/>
            <w:tcMar>
              <w:top w:w="180" w:type="dxa"/>
              <w:left w:w="240" w:type="dxa"/>
              <w:bottom w:w="180" w:type="dxa"/>
              <w:right w:w="240" w:type="dxa"/>
            </w:tcMar>
            <w:vAlign w:val="center"/>
          </w:tcPr>
          <w:p w14:paraId="61EA080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1.5-2x</w:t>
            </w:r>
          </w:p>
        </w:tc>
      </w:tr>
      <w:tr w14:paraId="36079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2662" w:type="dxa"/>
            <w:tcBorders>
              <w:top w:val="nil"/>
              <w:left w:val="nil"/>
              <w:bottom w:val="nil"/>
              <w:right w:val="nil"/>
            </w:tcBorders>
            <w:shd w:val="clear" w:color="auto" w:fill="FFFFFF"/>
            <w:tcMar>
              <w:top w:w="180" w:type="dxa"/>
              <w:left w:w="240" w:type="dxa"/>
              <w:bottom w:w="180" w:type="dxa"/>
              <w:right w:w="240" w:type="dxa"/>
            </w:tcMar>
            <w:vAlign w:val="center"/>
          </w:tcPr>
          <w:p w14:paraId="388ACAC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深加工肉类制品</w:t>
            </w:r>
          </w:p>
        </w:tc>
        <w:tc>
          <w:tcPr>
            <w:tcW w:w="1778" w:type="dxa"/>
            <w:tcBorders>
              <w:top w:val="nil"/>
              <w:left w:val="nil"/>
              <w:bottom w:val="nil"/>
              <w:right w:val="nil"/>
            </w:tcBorders>
            <w:shd w:val="clear" w:color="auto" w:fill="FFFFFF"/>
            <w:tcMar>
              <w:top w:w="180" w:type="dxa"/>
              <w:left w:w="240" w:type="dxa"/>
              <w:bottom w:w="180" w:type="dxa"/>
              <w:right w:w="240" w:type="dxa"/>
            </w:tcMar>
            <w:vAlign w:val="center"/>
          </w:tcPr>
          <w:p w14:paraId="629F691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8%</w:t>
            </w:r>
          </w:p>
        </w:tc>
        <w:tc>
          <w:tcPr>
            <w:tcW w:w="3982" w:type="dxa"/>
            <w:tcBorders>
              <w:top w:val="nil"/>
              <w:left w:val="nil"/>
              <w:bottom w:val="nil"/>
              <w:right w:val="nil"/>
            </w:tcBorders>
            <w:shd w:val="clear" w:color="auto" w:fill="FFFFFF"/>
            <w:tcMar>
              <w:top w:w="180" w:type="dxa"/>
              <w:left w:w="240" w:type="dxa"/>
              <w:bottom w:w="180" w:type="dxa"/>
              <w:right w:w="240" w:type="dxa"/>
            </w:tcMar>
            <w:vAlign w:val="center"/>
          </w:tcPr>
          <w:p w14:paraId="3C15F1B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3-5x</w:t>
            </w:r>
          </w:p>
        </w:tc>
      </w:tr>
      <w:tr w14:paraId="1A70D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2662" w:type="dxa"/>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17799CA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其他高附加值产品</w:t>
            </w:r>
          </w:p>
        </w:tc>
        <w:tc>
          <w:tcPr>
            <w:tcW w:w="1778" w:type="dxa"/>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6EF36F3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2%</w:t>
            </w:r>
          </w:p>
        </w:tc>
        <w:tc>
          <w:tcPr>
            <w:tcW w:w="3982" w:type="dxa"/>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94918B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4-6x</w:t>
            </w:r>
          </w:p>
        </w:tc>
      </w:tr>
    </w:tbl>
    <w:p w14:paraId="1658273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i w:val="0"/>
          <w:iCs w:val="0"/>
          <w:caps w:val="0"/>
          <w:spacing w:val="0"/>
          <w:kern w:val="0"/>
          <w:sz w:val="21"/>
          <w:szCs w:val="21"/>
          <w:lang w:val="en-US" w:eastAsia="zh-CN" w:bidi="ar"/>
        </w:rPr>
      </w:pPr>
    </w:p>
    <w:p w14:paraId="3D05C8B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从学科交叉视角看，本研究推动农业经济学与地缘政治学的融合创新。传统研究多聚焦经济变量分析，而本文构建粮食安全与地缘安全的联动分析范式，例如通过制裁敏感度指数量化俄乌冲突对中国东北大豆出口的间接增益效应（年均增长率达12.7%），揭示非经济因素对农产品贸易的传导路径。这一方法论创新不仅为农业贸易研究注入地缘政治风险评估维度，也为“一带一路”沿线国家的资源-安全协同研究提供范式参考，具有跨学科理论价值。</w:t>
      </w:r>
    </w:p>
    <w:p w14:paraId="263F0ED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333333"/>
          <w:sz w:val="24"/>
          <w:szCs w:val="24"/>
          <w:lang w:val="en-US" w:eastAsia="zh-CN"/>
        </w:rPr>
      </w:pPr>
      <w:r>
        <w:rPr>
          <w:rFonts w:hint="eastAsia" w:ascii="宋体" w:hAnsi="宋体" w:eastAsia="宋体" w:cs="宋体"/>
          <w:b w:val="0"/>
          <w:i w:val="0"/>
          <w:color w:val="333333"/>
          <w:sz w:val="21"/>
          <w:szCs w:val="21"/>
          <w:lang w:val="en-US" w:eastAsia="zh-CN"/>
        </w:rPr>
        <w:t>表3 中俄农产品技术标准差异</w:t>
      </w:r>
    </w:p>
    <w:tbl>
      <w:tblPr>
        <w:tblStyle w:val="15"/>
        <w:tblW w:w="0" w:type="auto"/>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1782"/>
        <w:gridCol w:w="2103"/>
        <w:gridCol w:w="2325"/>
        <w:gridCol w:w="2774"/>
      </w:tblGrid>
      <w:tr w14:paraId="5ECDBDB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FCFCFC"/>
        </w:tblPrEx>
        <w:trPr>
          <w:tblHeader/>
        </w:trPr>
        <w:tc>
          <w:tcPr>
            <w:tcW w:w="0" w:type="auto"/>
            <w:tcBorders>
              <w:top w:val="single" w:color="000000" w:sz="12" w:space="0"/>
              <w:bottom w:val="single" w:color="000000" w:sz="4" w:space="0"/>
              <w:tl2br w:val="nil"/>
              <w:tr2bl w:val="nil"/>
            </w:tcBorders>
            <w:shd w:val="clear" w:color="auto" w:fill="FFFFFF"/>
            <w:tcMar>
              <w:top w:w="180" w:type="dxa"/>
              <w:left w:w="240" w:type="dxa"/>
              <w:bottom w:w="180" w:type="dxa"/>
              <w:right w:w="240" w:type="dxa"/>
            </w:tcMar>
            <w:vAlign w:val="center"/>
          </w:tcPr>
          <w:p w14:paraId="0D70E5F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​​标准类别​​</w:t>
            </w:r>
          </w:p>
        </w:tc>
        <w:tc>
          <w:tcPr>
            <w:tcW w:w="0" w:type="auto"/>
            <w:tcBorders>
              <w:top w:val="single" w:color="000000" w:sz="12" w:space="0"/>
              <w:bottom w:val="single" w:color="000000" w:sz="4" w:space="0"/>
              <w:tl2br w:val="nil"/>
              <w:tr2bl w:val="nil"/>
            </w:tcBorders>
            <w:shd w:val="clear" w:color="auto" w:fill="FFFFFF"/>
            <w:tcMar>
              <w:top w:w="180" w:type="dxa"/>
              <w:left w:w="240" w:type="dxa"/>
              <w:bottom w:w="180" w:type="dxa"/>
              <w:right w:w="240" w:type="dxa"/>
            </w:tcMar>
            <w:vAlign w:val="center"/>
          </w:tcPr>
          <w:p w14:paraId="02537DC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​​中国GB标准​​</w:t>
            </w:r>
          </w:p>
        </w:tc>
        <w:tc>
          <w:tcPr>
            <w:tcW w:w="0" w:type="auto"/>
            <w:tcBorders>
              <w:top w:val="single" w:color="000000" w:sz="12" w:space="0"/>
              <w:bottom w:val="single" w:color="000000" w:sz="4" w:space="0"/>
              <w:tl2br w:val="nil"/>
              <w:tr2bl w:val="nil"/>
            </w:tcBorders>
            <w:shd w:val="clear" w:color="auto" w:fill="FFFFFF"/>
            <w:tcMar>
              <w:top w:w="180" w:type="dxa"/>
              <w:left w:w="240" w:type="dxa"/>
              <w:bottom w:w="180" w:type="dxa"/>
              <w:right w:w="240" w:type="dxa"/>
            </w:tcMar>
            <w:vAlign w:val="center"/>
          </w:tcPr>
          <w:p w14:paraId="2BE2337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​​俄罗斯EAC标准​​</w:t>
            </w:r>
          </w:p>
        </w:tc>
        <w:tc>
          <w:tcPr>
            <w:tcW w:w="0" w:type="auto"/>
            <w:tcBorders>
              <w:top w:val="single" w:color="000000" w:sz="12" w:space="0"/>
              <w:bottom w:val="single" w:color="000000" w:sz="4" w:space="0"/>
              <w:tl2br w:val="nil"/>
              <w:tr2bl w:val="nil"/>
            </w:tcBorders>
            <w:shd w:val="clear" w:color="auto" w:fill="FFFFFF"/>
            <w:tcMar>
              <w:top w:w="180" w:type="dxa"/>
              <w:left w:w="240" w:type="dxa"/>
              <w:bottom w:w="180" w:type="dxa"/>
              <w:right w:w="240" w:type="dxa"/>
            </w:tcMar>
            <w:vAlign w:val="center"/>
          </w:tcPr>
          <w:p w14:paraId="603375D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​​差异后果​​</w:t>
            </w:r>
          </w:p>
        </w:tc>
      </w:tr>
      <w:tr w14:paraId="37E9986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tl2br w:val="nil"/>
              <w:tr2bl w:val="nil"/>
            </w:tcBorders>
            <w:shd w:val="clear" w:color="auto" w:fill="FFFFFF"/>
            <w:tcMar>
              <w:top w:w="180" w:type="dxa"/>
              <w:left w:w="240" w:type="dxa"/>
              <w:bottom w:w="180" w:type="dxa"/>
              <w:right w:w="240" w:type="dxa"/>
            </w:tcMar>
            <w:vAlign w:val="center"/>
          </w:tcPr>
          <w:p w14:paraId="172784E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农药残留限量</w:t>
            </w:r>
          </w:p>
        </w:tc>
        <w:tc>
          <w:tcPr>
            <w:tcW w:w="0" w:type="auto"/>
            <w:tcBorders>
              <w:top w:val="single" w:color="000000" w:sz="4" w:space="0"/>
              <w:tl2br w:val="nil"/>
              <w:tr2bl w:val="nil"/>
            </w:tcBorders>
            <w:shd w:val="clear" w:color="auto" w:fill="FFFFFF"/>
            <w:tcMar>
              <w:top w:w="180" w:type="dxa"/>
              <w:left w:w="240" w:type="dxa"/>
              <w:bottom w:w="180" w:type="dxa"/>
              <w:right w:w="240" w:type="dxa"/>
            </w:tcMar>
            <w:vAlign w:val="center"/>
          </w:tcPr>
          <w:p w14:paraId="721C1DD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0.05 mg/kg</w:t>
            </w:r>
          </w:p>
        </w:tc>
        <w:tc>
          <w:tcPr>
            <w:tcW w:w="0" w:type="auto"/>
            <w:tcBorders>
              <w:top w:val="single" w:color="000000" w:sz="4" w:space="0"/>
              <w:tl2br w:val="nil"/>
              <w:tr2bl w:val="nil"/>
            </w:tcBorders>
            <w:shd w:val="clear" w:color="auto" w:fill="FFFFFF"/>
            <w:tcMar>
              <w:top w:w="180" w:type="dxa"/>
              <w:left w:w="240" w:type="dxa"/>
              <w:bottom w:w="180" w:type="dxa"/>
              <w:right w:w="240" w:type="dxa"/>
            </w:tcMar>
            <w:vAlign w:val="center"/>
          </w:tcPr>
          <w:p w14:paraId="2CA30C9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0.02 mg/kg</w:t>
            </w:r>
          </w:p>
        </w:tc>
        <w:tc>
          <w:tcPr>
            <w:tcW w:w="0" w:type="auto"/>
            <w:tcBorders>
              <w:top w:val="single" w:color="000000" w:sz="4" w:space="0"/>
              <w:tl2br w:val="nil"/>
              <w:tr2bl w:val="nil"/>
            </w:tcBorders>
            <w:shd w:val="clear" w:color="auto" w:fill="FFFFFF"/>
            <w:tcMar>
              <w:top w:w="180" w:type="dxa"/>
              <w:left w:w="240" w:type="dxa"/>
              <w:bottom w:w="180" w:type="dxa"/>
              <w:right w:w="240" w:type="dxa"/>
            </w:tcMar>
            <w:vAlign w:val="center"/>
          </w:tcPr>
          <w:p w14:paraId="2482810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超标批次退货率15%</w:t>
            </w:r>
          </w:p>
        </w:tc>
      </w:tr>
      <w:tr w14:paraId="4B484E2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l2br w:val="nil"/>
              <w:tr2bl w:val="nil"/>
            </w:tcBorders>
            <w:shd w:val="clear" w:color="auto" w:fill="FFFFFF"/>
            <w:tcMar>
              <w:top w:w="180" w:type="dxa"/>
              <w:left w:w="240" w:type="dxa"/>
              <w:bottom w:w="180" w:type="dxa"/>
              <w:right w:w="240" w:type="dxa"/>
            </w:tcMar>
            <w:vAlign w:val="center"/>
          </w:tcPr>
          <w:p w14:paraId="47721F5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食品标签语言</w:t>
            </w:r>
          </w:p>
        </w:tc>
        <w:tc>
          <w:tcPr>
            <w:tcW w:w="0" w:type="auto"/>
            <w:tcBorders>
              <w:tl2br w:val="nil"/>
              <w:tr2bl w:val="nil"/>
            </w:tcBorders>
            <w:shd w:val="clear" w:color="auto" w:fill="FFFFFF"/>
            <w:tcMar>
              <w:top w:w="180" w:type="dxa"/>
              <w:left w:w="240" w:type="dxa"/>
              <w:bottom w:w="180" w:type="dxa"/>
              <w:right w:w="240" w:type="dxa"/>
            </w:tcMar>
            <w:vAlign w:val="center"/>
          </w:tcPr>
          <w:p w14:paraId="6E3BBED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中英文双语</w:t>
            </w:r>
          </w:p>
        </w:tc>
        <w:tc>
          <w:tcPr>
            <w:tcW w:w="0" w:type="auto"/>
            <w:tcBorders>
              <w:tl2br w:val="nil"/>
              <w:tr2bl w:val="nil"/>
            </w:tcBorders>
            <w:shd w:val="clear" w:color="auto" w:fill="FFFFFF"/>
            <w:tcMar>
              <w:top w:w="180" w:type="dxa"/>
              <w:left w:w="240" w:type="dxa"/>
              <w:bottom w:w="180" w:type="dxa"/>
              <w:right w:w="240" w:type="dxa"/>
            </w:tcMar>
            <w:vAlign w:val="center"/>
          </w:tcPr>
          <w:p w14:paraId="4255F6F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俄文强制要求</w:t>
            </w:r>
          </w:p>
        </w:tc>
        <w:tc>
          <w:tcPr>
            <w:tcW w:w="0" w:type="auto"/>
            <w:tcBorders>
              <w:tl2br w:val="nil"/>
              <w:tr2bl w:val="nil"/>
            </w:tcBorders>
            <w:shd w:val="clear" w:color="auto" w:fill="FFFFFF"/>
            <w:tcMar>
              <w:top w:w="180" w:type="dxa"/>
              <w:left w:w="240" w:type="dxa"/>
              <w:bottom w:w="180" w:type="dxa"/>
              <w:right w:w="240" w:type="dxa"/>
            </w:tcMar>
            <w:vAlign w:val="center"/>
          </w:tcPr>
          <w:p w14:paraId="17326A9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标签错误导致年损失8000万美元</w:t>
            </w:r>
          </w:p>
        </w:tc>
      </w:tr>
      <w:tr w14:paraId="02B28F7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bottom w:val="single" w:color="000000" w:sz="12" w:space="0"/>
              <w:tl2br w:val="nil"/>
              <w:tr2bl w:val="nil"/>
            </w:tcBorders>
            <w:shd w:val="clear" w:color="auto" w:fill="FFFFFF"/>
            <w:tcMar>
              <w:top w:w="180" w:type="dxa"/>
              <w:left w:w="240" w:type="dxa"/>
              <w:bottom w:w="180" w:type="dxa"/>
              <w:right w:w="240" w:type="dxa"/>
            </w:tcMar>
            <w:vAlign w:val="center"/>
          </w:tcPr>
          <w:p w14:paraId="4218106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冷链运输温度记录</w:t>
            </w:r>
          </w:p>
        </w:tc>
        <w:tc>
          <w:tcPr>
            <w:tcW w:w="0" w:type="auto"/>
            <w:tcBorders>
              <w:bottom w:val="single" w:color="000000" w:sz="12" w:space="0"/>
              <w:tl2br w:val="nil"/>
              <w:tr2bl w:val="nil"/>
            </w:tcBorders>
            <w:shd w:val="clear" w:color="auto" w:fill="FFFFFF"/>
            <w:tcMar>
              <w:top w:w="180" w:type="dxa"/>
              <w:left w:w="240" w:type="dxa"/>
              <w:bottom w:w="180" w:type="dxa"/>
              <w:right w:w="240" w:type="dxa"/>
            </w:tcMar>
            <w:vAlign w:val="center"/>
          </w:tcPr>
          <w:p w14:paraId="1D8E3DC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抽检制</w:t>
            </w:r>
          </w:p>
        </w:tc>
        <w:tc>
          <w:tcPr>
            <w:tcW w:w="0" w:type="auto"/>
            <w:tcBorders>
              <w:bottom w:val="single" w:color="000000" w:sz="12" w:space="0"/>
              <w:tl2br w:val="nil"/>
              <w:tr2bl w:val="nil"/>
            </w:tcBorders>
            <w:shd w:val="clear" w:color="auto" w:fill="FFFFFF"/>
            <w:tcMar>
              <w:top w:w="180" w:type="dxa"/>
              <w:left w:w="240" w:type="dxa"/>
              <w:bottom w:w="180" w:type="dxa"/>
              <w:right w:w="240" w:type="dxa"/>
            </w:tcMar>
            <w:vAlign w:val="center"/>
          </w:tcPr>
          <w:p w14:paraId="09D75BA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全流程实时监控</w:t>
            </w:r>
          </w:p>
        </w:tc>
        <w:tc>
          <w:tcPr>
            <w:tcW w:w="0" w:type="auto"/>
            <w:tcBorders>
              <w:bottom w:val="single" w:color="000000" w:sz="12" w:space="0"/>
              <w:tl2br w:val="nil"/>
              <w:tr2bl w:val="nil"/>
            </w:tcBorders>
            <w:shd w:val="clear" w:color="auto" w:fill="FFFFFF"/>
            <w:tcMar>
              <w:top w:w="180" w:type="dxa"/>
              <w:left w:w="240" w:type="dxa"/>
              <w:bottom w:w="180" w:type="dxa"/>
              <w:right w:w="240" w:type="dxa"/>
            </w:tcMar>
            <w:vAlign w:val="center"/>
          </w:tcPr>
          <w:p w14:paraId="2FE1DCF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kern w:val="0"/>
                <w:sz w:val="21"/>
                <w:szCs w:val="21"/>
                <w:lang w:val="en-US" w:eastAsia="zh-CN" w:bidi="ar"/>
              </w:rPr>
            </w:pPr>
            <w:r>
              <w:rPr>
                <w:rFonts w:hint="default" w:ascii="Segoe UI" w:hAnsi="Segoe UI" w:eastAsia="Segoe UI" w:cs="Segoe UI"/>
                <w:b w:val="0"/>
                <w:i w:val="0"/>
                <w:iCs w:val="0"/>
                <w:caps w:val="0"/>
                <w:color w:val="000000"/>
                <w:spacing w:val="0"/>
                <w:kern w:val="0"/>
                <w:sz w:val="21"/>
                <w:szCs w:val="21"/>
                <w:lang w:val="en-US" w:eastAsia="zh-CN" w:bidi="ar"/>
              </w:rPr>
              <w:t>冷链不达标退货率提升22%</w:t>
            </w:r>
          </w:p>
        </w:tc>
      </w:tr>
    </w:tbl>
    <w:p w14:paraId="50EFA6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eastAsia="zh-CN"/>
        </w:rPr>
      </w:pPr>
    </w:p>
    <w:p w14:paraId="6185F0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pPr>
    </w:p>
    <w:p w14:paraId="4F67C765">
      <w:pPr>
        <w:pStyle w:val="24"/>
        <w:widowControl w:val="0"/>
        <w:spacing w:beforeLines="-2147483648" w:beforeAutospacing="0" w:afterLines="-2147483648" w:afterAutospacing="0"/>
        <w:jc w:val="both"/>
        <w:rPr>
          <w:rFonts w:hint="default" w:ascii="Times New Roman" w:hAnsi="Times New Roman" w:cs="Times New Roman"/>
          <w:bCs/>
          <w:kern w:val="2"/>
          <w:lang w:val="en-US" w:eastAsia="zh-CN"/>
        </w:rPr>
      </w:pPr>
      <w:bookmarkStart w:id="16" w:name="_Toc8618"/>
      <w:r>
        <w:rPr>
          <w:rFonts w:hint="eastAsia" w:ascii="Times New Roman" w:hAnsi="Times New Roman" w:cs="Times New Roman"/>
          <w:bCs/>
          <w:kern w:val="2"/>
          <w:lang w:val="en-US" w:eastAsia="zh-CN"/>
        </w:rPr>
        <w:t>国内外文献综述</w:t>
      </w:r>
      <w:bookmarkEnd w:id="16"/>
    </w:p>
    <w:p w14:paraId="18DC0E2D">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eastAsia="zh-CN"/>
        </w:rPr>
      </w:pPr>
      <w:bookmarkStart w:id="17" w:name="_Toc29457"/>
      <w:bookmarkStart w:id="18" w:name="_Toc12277"/>
      <w:bookmarkStart w:id="19" w:name="_Toc9412"/>
      <w:r>
        <w:rPr>
          <w:rFonts w:hint="eastAsia" w:ascii="Times New Roman" w:hAnsi="Times New Roman" w:cs="Times New Roman"/>
          <w:bCs/>
          <w:color w:val="000000"/>
          <w:kern w:val="2"/>
          <w:lang w:eastAsia="zh-CN"/>
        </w:rPr>
        <w:t>1.2.1</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国内研究现状</w:t>
      </w:r>
      <w:bookmarkEnd w:id="17"/>
      <w:bookmarkEnd w:id="18"/>
      <w:bookmarkEnd w:id="19"/>
    </w:p>
    <w:p w14:paraId="08605C8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国内学者对中俄农产品贸易的研究主要集中于贸易互补性、竞争性及政策影响等领域。冯笑（2025）基于显性比较优势指数（RCA）与贸易互补性指数（TCI），验证了中俄农产品贸易的垂直互补特征，指出中国在劳动密集型农产品（如蔬菜、水果）上具有显著优势，而俄罗斯在土地密集型产品（如小麦、油菜籽）上更具竞争力，这一结论为双边贸易分工提供了理论依据[1]。然而，其研究未充分考虑地缘政治冲突对传统互补关系的动态冲击，例如俄乌冲突后俄罗斯进口替代政策对中方出口结构的重塑效应。</w:t>
      </w:r>
    </w:p>
    <w:p w14:paraId="7CD72C5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贸易影响因素方面，李强等（2023）利用引力模型分析发现，中俄双边政治关系、物流基础设施完善度与贸易额呈显著正相关，而技术性贸易壁垒与汇率波动构成主要抑制因素[2]。其研究进一步指出，中俄农产品贸易潜力尚未充分释放，2018-2022年实际贸易规模仅达到理论值的68%，但未深入解析潜力缺口的具体分布领域（如高附加值品类、区域市场渗透率）。</w:t>
      </w:r>
    </w:p>
    <w:p w14:paraId="5762F3D7">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针对物流瓶颈问题，王建华（2022）通过案例研究揭示了中俄边境口岸冷链设施缺失导致的损耗问题，数据显示，黑龙江省对俄果蔬出口因冷链断链造成的年均损失达12亿元人民币，并提出“公私合营（PPP）模式”建设跨境冷链走廊的政策建议[3]。该研究为基础设施优化提供了实证支撑，但未量化评估冷链投资对出口利润的边际贡献率，难以指导企业优先级决策。</w:t>
      </w:r>
    </w:p>
    <w:p w14:paraId="21CBDB80">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此外，部分学者关注政策协同机制。张伟（2021）对比分析了“一带一路”框架下中俄农业合作示范区的发展绩效，发现制度性交易成本降低可使企业出口效率提升19%-24%，但研究未触及技术标准互认、数据跨境流动等深层次制度壁垒[4]。</w:t>
      </w:r>
    </w:p>
    <w:p w14:paraId="62FFB46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国内研究已初步构建中俄农产品贸易的分析框架，但存在三方面局限：其一，偏重静态互补性分析，缺乏对地缘政治、技术标准演变等动态变量的系统整合；其二，政策建议多停留在宏观层面，缺乏企业可操作的微观路径设计；其三，数据时效性不足，对2022年后西方制裁引发的市场格局剧变响应滞后。</w:t>
      </w:r>
    </w:p>
    <w:p w14:paraId="54FA7CC6">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eastAsia="zh-CN"/>
        </w:rPr>
      </w:pPr>
      <w:bookmarkStart w:id="20" w:name="_Toc27615"/>
      <w:bookmarkStart w:id="21" w:name="_Toc22967"/>
      <w:bookmarkStart w:id="22" w:name="_Toc9070"/>
      <w:r>
        <w:rPr>
          <w:rFonts w:hint="eastAsia" w:ascii="Times New Roman" w:hAnsi="Times New Roman" w:cs="Times New Roman"/>
          <w:bCs/>
          <w:color w:val="000000"/>
          <w:kern w:val="2"/>
          <w:lang w:eastAsia="zh-CN"/>
        </w:rPr>
        <w:t>1.2.2</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国外研究现状</w:t>
      </w:r>
      <w:bookmarkEnd w:id="20"/>
      <w:bookmarkEnd w:id="21"/>
      <w:bookmarkEnd w:id="22"/>
    </w:p>
    <w:p w14:paraId="3304498F">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国外学者对中俄农产品贸易的关注多集中于地缘政治重构与供应链韧性领域。Smith &amp; Johnson (2022) 分析了西方制裁对俄罗斯农产品进口格局的重塑效应，指出2022年后俄罗斯对华农产品进口依赖度从14%跃升至37%，且进口品类从大宗谷物向深加工食品扩展，这一转变标志着中俄贸易从“互补性合作”向“战略性依赖”的过渡[5]。但其研究未充分纳入中国国内农业政策变量（如“双循环”战略），导致对双边贸易动因的解释存在片面性。</w:t>
      </w:r>
    </w:p>
    <w:p w14:paraId="495D1597">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技术性贸易壁垒方面，Kurokawa (2021) 通过比较中日俄三国农产品认证体系，发现俄罗斯EAC标准的技术透明度显著低于国际食品法典（CODEX），且执法过程存在区域性差异，例如远东地区的抽检率较莫斯科低40%[6]。这一结论为中国企业规避合规风险提供了参考，但研究未提出可操作的标准互认路径。</w:t>
      </w:r>
    </w:p>
    <w:p w14:paraId="0D6144B3">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针对物流瓶颈，Götz &amp; Glauben (2023) 运用供应链断裂模型（SCDM）模拟了中欧班列运输效率对中俄农产品贸易的影响，结果表明，若冷链专列利用率提升至50%，中国对俄果蔬出口规模可增长18%-22%[7]。然而，其模型未考虑地缘冲突（如俄乌战争）对黑海运输路线的替代效应，削弱了结论的现实适用性。</w:t>
      </w:r>
    </w:p>
    <w:p w14:paraId="2789306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此外，部分研究关注中国“一带一路”倡议的农业合作效应。Chen et al. (2020) 基于中亚五国案例，提出“陆权经济走廊”对农产品出口的辐射效应，但未专门针对俄罗斯市场验证该理论的适用性[8]。</w:t>
      </w:r>
    </w:p>
    <w:p w14:paraId="26E6A07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总体而言，国外研究虽在宏观地缘格局与供应链分析上具有前瞻性，但存在以下局限：其一，对中国政策动态与俄罗斯国内农业保护主义的联动机制研究不足；其二，缺乏对中俄边境区域实践（如黑龙江自贸区）的微观实证；其三，数据时效性滞后，对2022年后中俄贸易的爆发性增长缺乏跟踪。</w:t>
      </w:r>
    </w:p>
    <w:p w14:paraId="46A30C05">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eastAsia="zh-CN"/>
        </w:rPr>
      </w:pPr>
      <w:bookmarkStart w:id="23" w:name="_Toc20808"/>
      <w:bookmarkStart w:id="24" w:name="_Toc22396"/>
      <w:r>
        <w:rPr>
          <w:rFonts w:hint="eastAsia" w:ascii="Times New Roman" w:hAnsi="Times New Roman" w:cs="Times New Roman"/>
          <w:bCs/>
          <w:color w:val="000000"/>
          <w:kern w:val="2"/>
          <w:lang w:eastAsia="zh-CN"/>
        </w:rPr>
        <w:t>1.2.</w:t>
      </w:r>
      <w:r>
        <w:rPr>
          <w:rFonts w:hint="eastAsia" w:ascii="Times New Roman" w:hAnsi="Times New Roman" w:cs="Times New Roman"/>
          <w:bCs/>
          <w:color w:val="000000"/>
          <w:kern w:val="2"/>
          <w:lang w:val="en-US" w:eastAsia="zh-CN"/>
        </w:rPr>
        <w:t xml:space="preserve">3 </w:t>
      </w:r>
      <w:r>
        <w:rPr>
          <w:rFonts w:hint="eastAsia" w:ascii="Times New Roman" w:hAnsi="Times New Roman" w:cs="Times New Roman"/>
          <w:bCs/>
          <w:color w:val="000000"/>
          <w:kern w:val="2"/>
          <w:lang w:eastAsia="zh-CN"/>
        </w:rPr>
        <w:t xml:space="preserve"> </w:t>
      </w:r>
      <w:r>
        <w:rPr>
          <w:rFonts w:hint="eastAsia" w:ascii="Times New Roman" w:hAnsi="Times New Roman" w:cs="Times New Roman"/>
          <w:bCs/>
          <w:color w:val="000000"/>
          <w:kern w:val="2"/>
          <w:lang w:val="en-US" w:eastAsia="zh-CN"/>
        </w:rPr>
        <w:t>文献综述</w:t>
      </w:r>
      <w:bookmarkEnd w:id="23"/>
    </w:p>
    <w:p w14:paraId="2C47A36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综合国内外研究进展可知，中俄农产品贸易研究已形成“互补性分析-影响因素识别-政策优化”的基础框架，但理论与方法仍存在显著局限性。</w:t>
      </w:r>
    </w:p>
    <w:p w14:paraId="1936BF17">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eastAsia" w:ascii="宋体" w:hAnsi="宋体" w:eastAsia="宋体" w:cs="宋体"/>
          <w:b w:val="0"/>
          <w:i w:val="0"/>
          <w:color w:val="333333"/>
          <w:sz w:val="24"/>
          <w:szCs w:val="24"/>
          <w:lang w:val="en-US" w:eastAsia="zh-CN"/>
        </w:rPr>
        <w:t>在</w:t>
      </w:r>
      <w:r>
        <w:rPr>
          <w:rFonts w:hint="default" w:ascii="宋体" w:hAnsi="宋体" w:eastAsia="宋体" w:cs="宋体"/>
          <w:b w:val="0"/>
          <w:i w:val="0"/>
          <w:color w:val="333333"/>
          <w:sz w:val="24"/>
          <w:szCs w:val="24"/>
        </w:rPr>
        <w:t>研究共识与进展方面</w:t>
      </w:r>
      <w:r>
        <w:rPr>
          <w:rFonts w:hint="eastAsia" w:ascii="宋体" w:hAnsi="宋体" w:eastAsia="宋体" w:cs="宋体"/>
          <w:b w:val="0"/>
          <w:i w:val="0"/>
          <w:color w:val="333333"/>
          <w:sz w:val="24"/>
          <w:szCs w:val="24"/>
          <w:lang w:eastAsia="zh-CN"/>
        </w:rPr>
        <w:t>，</w:t>
      </w:r>
      <w:r>
        <w:rPr>
          <w:rFonts w:hint="default" w:ascii="宋体" w:hAnsi="宋体" w:eastAsia="宋体" w:cs="宋体"/>
          <w:b w:val="0"/>
          <w:i w:val="0"/>
          <w:color w:val="333333"/>
          <w:sz w:val="24"/>
          <w:szCs w:val="24"/>
        </w:rPr>
        <w:t>学界普遍认可中俄农产品贸易的垂直互补性特征，国内学者通过显性比较优势指数（RCA）验证了中国劳动密集型农产品的出口优势（冯笑，2025），而国外研究进一步揭示西方制裁加速了俄罗斯对华依赖（Smith &amp; Johnson，2022），为双边合作必要性提供佐证。其二，物流效率与技术壁垒被公认为核心制约因素，国内实证表明冷链缺口导致年均12亿元损失（王建华，2022），国外研究则量化了技术标准差异对贸易成本的边际影响（Kurokawa，2021）。其三，政策协同效应得到初步探讨，如“一带一路”倡议对区域市场联动的促进作用（张伟，2021），但缺乏对制度性障碍的深入解构。</w:t>
      </w:r>
    </w:p>
    <w:p w14:paraId="56C47BE0">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现有成果多基于静态分析，对地缘政治冲突、供应链重构等动态变量的响应滞后。例如，国内研究未充分纳入2022年后俄罗斯“进口替代东移”战略的冲击效应（李强等，2023），国外模型亦忽视黑海运输中断对中国东北出口的替代性红利（Götz &amp; Glauben，2023）。其次，微观机制研究薄弱，企业层面的合规策略、市场进入路径等实操问题尚未形成系统理论。尽管Kurokawa（2021）指出EAC认证的区域性执法差异，但未提出企业适应性方案；国内学者虽强调高附加值产品出口潜力（冯笑，2025），却未量化其利润贡献率以指导企业决策。最后，学科交叉深度不足，农业经济学与地缘政治学的融合仍处于概念嫁接阶段，缺乏如“制裁敏感度指数”等量化工具的创新应用。</w:t>
      </w:r>
    </w:p>
    <w:p w14:paraId="0B31DD6E">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当前亟需构建“动态-立体”分析范式，一方面将地缘政治风险、技术标准迭代等动态变量纳入贸易预测模型，另一方面通过企业微观数据（如合规成本、渠道选择）揭示市场渗透机制。这要求突破传统互补性理论的静态假设，结合供应链韧性理论与制度经济学，解析中俄农业合作在制裁背景下的适应性演进路径，从而为政策制定与企业实践提供兼具前瞻性与实操性的解决方案。</w:t>
      </w:r>
    </w:p>
    <w:p w14:paraId="03896E42">
      <w:pPr>
        <w:rPr>
          <w:rFonts w:hint="default" w:ascii="宋体" w:hAnsi="宋体" w:eastAsia="宋体" w:cs="宋体"/>
          <w:b w:val="0"/>
          <w:i w:val="0"/>
          <w:color w:val="333333"/>
          <w:sz w:val="24"/>
          <w:szCs w:val="24"/>
          <w:lang w:val="en-US"/>
        </w:rPr>
        <w:sectPr>
          <w:headerReference r:id="rId16" w:type="default"/>
          <w:footerReference r:id="rId18" w:type="default"/>
          <w:headerReference r:id="rId17" w:type="even"/>
          <w:footerReference r:id="rId19" w:type="even"/>
          <w:pgSz w:w="11906" w:h="16838"/>
          <w:pgMar w:top="1984" w:right="1701" w:bottom="1984" w:left="1701" w:header="1559"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pPr>
    </w:p>
    <w:p w14:paraId="6E8C39B0">
      <w:pPr>
        <w:rPr>
          <w:rFonts w:hint="default" w:ascii="宋体" w:hAnsi="宋体" w:eastAsia="宋体" w:cs="宋体"/>
          <w:b w:val="0"/>
          <w:i w:val="0"/>
          <w:color w:val="333333"/>
          <w:sz w:val="24"/>
          <w:szCs w:val="24"/>
          <w:lang w:val="en-US"/>
        </w:rPr>
      </w:pPr>
    </w:p>
    <w:p w14:paraId="04BE1D43">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rPr>
      </w:pPr>
    </w:p>
    <w:p w14:paraId="6659CF73">
      <w:pPr>
        <w:pStyle w:val="14"/>
        <w:keepNext w:val="0"/>
        <w:keepLines w:val="0"/>
        <w:pageBreakBefore w:val="0"/>
        <w:widowControl/>
        <w:suppressLineNumbers w:val="0"/>
        <w:kinsoku/>
        <w:wordWrap/>
        <w:overflowPunct/>
        <w:topLinePunct w:val="0"/>
        <w:autoSpaceDE/>
        <w:autoSpaceDN/>
        <w:bidi w:val="0"/>
        <w:adjustRightInd/>
        <w:snapToGrid/>
        <w:spacing w:before="120" w:beforeAutospacing="0" w:after="100" w:afterAutospacing="1" w:line="400" w:lineRule="exact"/>
        <w:ind w:right="0" w:rightChars="0"/>
        <w:jc w:val="center"/>
        <w:textAlignment w:val="auto"/>
        <w:outlineLvl w:val="0"/>
        <w:rPr>
          <w:rFonts w:hint="eastAsia" w:ascii="黑体" w:hAnsi="黑体" w:eastAsia="黑体" w:cs="黑体"/>
          <w:b w:val="0"/>
          <w:bCs/>
          <w:sz w:val="30"/>
          <w:szCs w:val="30"/>
        </w:rPr>
      </w:pPr>
      <w:bookmarkStart w:id="25" w:name="_Toc29643"/>
      <w:r>
        <w:rPr>
          <w:rFonts w:hint="eastAsia" w:ascii="黑体" w:hAnsi="黑体" w:eastAsia="黑体" w:cs="黑体"/>
          <w:b w:val="0"/>
          <w:bCs/>
          <w:sz w:val="30"/>
          <w:szCs w:val="30"/>
          <w:lang w:val="en-US" w:eastAsia="zh-CN"/>
        </w:rPr>
        <w:t>第</w:t>
      </w:r>
      <w:r>
        <w:rPr>
          <w:rFonts w:hint="eastAsia" w:ascii="黑体" w:hAnsi="黑体" w:eastAsia="黑体" w:cs="黑体"/>
          <w:b w:val="0"/>
          <w:bCs/>
          <w:sz w:val="30"/>
          <w:szCs w:val="30"/>
        </w:rPr>
        <w:t>2</w:t>
      </w:r>
      <w:r>
        <w:rPr>
          <w:rFonts w:hint="eastAsia" w:ascii="黑体" w:hAnsi="黑体" w:eastAsia="黑体" w:cs="黑体"/>
          <w:b w:val="0"/>
          <w:bCs/>
          <w:sz w:val="30"/>
          <w:szCs w:val="30"/>
          <w:lang w:val="en-US" w:eastAsia="zh-CN"/>
        </w:rPr>
        <w:t>章</w:t>
      </w:r>
      <w:r>
        <w:rPr>
          <w:rFonts w:hint="eastAsia" w:ascii="黑体" w:hAnsi="黑体" w:eastAsia="黑体" w:cs="黑体"/>
          <w:b w:val="0"/>
          <w:bCs/>
          <w:sz w:val="30"/>
          <w:szCs w:val="30"/>
        </w:rPr>
        <w:t xml:space="preserve"> </w:t>
      </w:r>
      <w:r>
        <w:rPr>
          <w:rFonts w:hint="eastAsia" w:ascii="黑体" w:hAnsi="黑体" w:eastAsia="黑体" w:cs="黑体"/>
          <w:b w:val="0"/>
          <w:bCs/>
          <w:sz w:val="30"/>
          <w:szCs w:val="30"/>
          <w:lang w:val="en-US" w:eastAsia="zh-CN"/>
        </w:rPr>
        <w:t xml:space="preserve"> 基本概念与理论基础​</w:t>
      </w:r>
      <w:bookmarkEnd w:id="25"/>
    </w:p>
    <w:p w14:paraId="4717666C">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sz w:val="28"/>
          <w:szCs w:val="28"/>
        </w:rPr>
      </w:pPr>
      <w:bookmarkStart w:id="26" w:name="_Toc19276"/>
      <w:r>
        <w:rPr>
          <w:rFonts w:hint="eastAsia" w:ascii="黑体" w:hAnsi="黑体" w:eastAsia="黑体" w:cs="黑体"/>
          <w:b w:val="0"/>
          <w:bCs/>
          <w:sz w:val="28"/>
          <w:szCs w:val="28"/>
        </w:rPr>
        <w:t xml:space="preserve">2.1 </w:t>
      </w:r>
      <w:r>
        <w:rPr>
          <w:rFonts w:hint="eastAsia" w:ascii="黑体" w:hAnsi="黑体" w:eastAsia="黑体" w:cs="黑体"/>
          <w:b w:val="0"/>
          <w:bCs/>
          <w:i w:val="0"/>
          <w:iCs w:val="0"/>
          <w:caps w:val="0"/>
          <w:spacing w:val="0"/>
          <w:sz w:val="28"/>
          <w:szCs w:val="28"/>
          <w:shd w:val="clear" w:fill="FCFCFC"/>
        </w:rPr>
        <w:t>贸易理论基础</w:t>
      </w:r>
      <w:bookmarkEnd w:id="26"/>
    </w:p>
    <w:p w14:paraId="12885712">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eastAsia="zh-CN"/>
        </w:rPr>
      </w:pPr>
      <w:bookmarkStart w:id="27" w:name="_Toc14232"/>
      <w:r>
        <w:rPr>
          <w:rFonts w:hint="eastAsia" w:ascii="Times New Roman" w:hAnsi="Times New Roman" w:cs="Times New Roman"/>
          <w:bCs/>
          <w:color w:val="000000"/>
          <w:kern w:val="2"/>
          <w:lang w:eastAsia="zh-CN"/>
        </w:rPr>
        <w:t>2.1.1</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比较优势理论与国际分工动因</w:t>
      </w:r>
      <w:bookmarkEnd w:id="27"/>
    </w:p>
    <w:p w14:paraId="6E6A19D5">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default" w:ascii="宋体" w:hAnsi="宋体" w:eastAsia="宋体" w:cs="宋体"/>
          <w:b w:val="0"/>
          <w:i w:val="0"/>
          <w:color w:val="333333"/>
          <w:sz w:val="24"/>
          <w:szCs w:val="24"/>
        </w:rPr>
        <w:t>比较优势理论由大卫·李嘉图提出，其核心观点是：即使一国在所有产品生产上均处于绝对劣势，仍可通过专业化生产并出口其相对成本较低的产品，同时进口相对成本较高的产品，从而实现贸易双方的整体福利提升。这一理论为国际分工提供了基础逻辑，即各国依据资源禀赋差异选择优势产业参与全球价值链。在中俄农产品贸易中，比较优势体现为生产要素的互补性分布：中国在劳动密集型农产品上具有显著优势，而俄罗斯在土地密集型产品上更具竞争力。</w:t>
      </w:r>
    </w:p>
    <w:p w14:paraId="0CD105D4">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default" w:ascii="宋体" w:hAnsi="宋体" w:eastAsia="宋体" w:cs="宋体"/>
          <w:b w:val="0"/>
          <w:i w:val="0"/>
          <w:color w:val="333333"/>
          <w:sz w:val="24"/>
          <w:szCs w:val="24"/>
        </w:rPr>
      </w:pPr>
      <w:r>
        <w:rPr>
          <w:rFonts w:hint="eastAsia" w:ascii="宋体" w:hAnsi="宋体" w:eastAsia="宋体" w:cs="宋体"/>
          <w:b w:val="0"/>
          <w:i w:val="0"/>
          <w:color w:val="333333"/>
          <w:sz w:val="24"/>
          <w:szCs w:val="24"/>
          <w:lang w:val="en-US" w:eastAsia="zh-CN"/>
        </w:rPr>
        <w:t>表4 中俄出口农产品</w:t>
      </w:r>
      <w:r>
        <w:rPr>
          <w:rFonts w:hint="default" w:ascii="宋体" w:hAnsi="宋体" w:eastAsia="宋体" w:cs="宋体"/>
          <w:b w:val="0"/>
          <w:i w:val="0"/>
          <w:color w:val="333333"/>
          <w:sz w:val="24"/>
          <w:szCs w:val="24"/>
        </w:rPr>
        <w:t>竞争力</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3506"/>
        <w:gridCol w:w="2611"/>
        <w:gridCol w:w="2670"/>
      </w:tblGrid>
      <w:tr w14:paraId="4D02D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050490B9">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指标​</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1FBB73A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​中国​</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5CFDED8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​俄罗斯​</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493CA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46C47E8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 蔬菜产量全球占比</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0252460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58%</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3B75C32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3%</w:t>
            </w:r>
          </w:p>
        </w:tc>
      </w:tr>
      <w:tr w14:paraId="3D8C0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E27F2B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 劳动密集度系数（蔬菜）</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A64F5A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0.78</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12A542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0.32</w:t>
            </w:r>
          </w:p>
        </w:tc>
      </w:tr>
      <w:tr w14:paraId="37871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3299194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 生产成本优势（番茄）</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868E39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较俄低30-40%</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B470DB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p>
        </w:tc>
      </w:tr>
      <w:tr w14:paraId="3C0CE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049678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 小麦出口量</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D897C6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进口量12%来自俄罗斯</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F3D75F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4200万吨（全球第一）</w:t>
            </w:r>
          </w:p>
        </w:tc>
      </w:tr>
      <w:tr w14:paraId="07B12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AE1C13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 土地密集度系数（小麦）</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A4F5F9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0.21</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67B181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0.65</w:t>
            </w:r>
          </w:p>
        </w:tc>
      </w:tr>
      <w:tr w14:paraId="35D42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3608D8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 人均耕地面积</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C4E644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0.09公顷</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99FCEA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1.4公顷</w:t>
            </w:r>
          </w:p>
        </w:tc>
      </w:tr>
      <w:tr w14:paraId="6607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54E85DA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w:t>
            </w:r>
            <w:r>
              <w:rPr>
                <w:rStyle w:val="18"/>
                <w:rFonts w:ascii="Segoe UI" w:hAnsi="Segoe UI" w:eastAsia="Segoe UI" w:cs="Segoe UI"/>
                <w:b w:val="0"/>
                <w:bCs/>
                <w:i w:val="0"/>
                <w:iCs w:val="0"/>
                <w:caps w:val="0"/>
                <w:color w:val="000000"/>
                <w:spacing w:val="0"/>
                <w:sz w:val="21"/>
                <w:szCs w:val="21"/>
                <w:vertAlign w:val="baseline"/>
              </w:rPr>
              <w:t>​贸易互补性指数（TCI）​</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438370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1.36</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474DE1A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（中俄）</w:t>
            </w:r>
          </w:p>
        </w:tc>
      </w:tr>
    </w:tbl>
    <w:p w14:paraId="423A3052">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rPr>
      </w:pPr>
      <w:r>
        <w:rPr>
          <w:rFonts w:hint="eastAsia" w:ascii="宋体" w:hAnsi="宋体" w:eastAsia="宋体" w:cs="宋体"/>
          <w:b w:val="0"/>
          <w:i w:val="0"/>
          <w:color w:val="333333"/>
          <w:sz w:val="24"/>
          <w:szCs w:val="24"/>
          <w:lang w:val="en-US" w:eastAsia="zh-CN"/>
        </w:rPr>
        <w:t>由上述表格可得，</w:t>
      </w:r>
      <w:r>
        <w:rPr>
          <w:rFonts w:hint="default" w:ascii="宋体" w:hAnsi="宋体" w:eastAsia="宋体" w:cs="宋体"/>
          <w:b w:val="0"/>
          <w:i w:val="0"/>
          <w:color w:val="333333"/>
          <w:sz w:val="24"/>
          <w:szCs w:val="24"/>
        </w:rPr>
        <w:t>中国作为全球最大的蔬菜和水果生产国，2023年蔬菜产量占全球总量的58%，水果产量占32%。得益于劳动力资源丰富与集约化种植技术，中国在番茄、洋葱等劳动密集型品类的生产成本较俄罗斯低30%-40%，单位面积劳动产出比俄罗斯高2.3倍。与此形成鲜明对比的是，俄罗斯人均耕地面积达1.4公顷，约为中国的9倍，其广袤的土地资源使得小麦、大豆等土地密集型作物的生产成本较中国低18%-25%。2022年俄罗斯小麦出口量达4200万吨，位居全球第一，而中国同期进口小麦的12%来自俄罗斯。这种资源禀赋的差异推动中俄形成“南菜北粮”的垂直分工格局：中国向俄罗斯出口蔬菜、水果及深加工食品（占对俄农产品出口额的67%），同时从俄罗斯进口小麦、油菜籽等大宗谷物（占进口额的81%）。冯笑（2025）的实证研究表明，中俄农产品贸易互补性指数（TCI）达1.36，显著高于中美（0.89）及中欧（1.07），印证了比较优势理论在双边合作中的适用性。</w:t>
      </w:r>
    </w:p>
    <w:p w14:paraId="5382AC3D">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rPr>
        <w:t>然而，传统比较优势理论在解释当前中俄贸易动态时面临局限性。地缘政治冲击显著改变了既有成本结构：2022年俄乌冲突导致黑海粮食运输受阻，俄罗斯谷物出口成本上升27%，迫使中国扩大从俄陆路边境进口，削弱了原有的海运成本优势。此外，技术进步正在重塑要素禀赋格局，中国农业机械化率从2010年的48%提升至2023年的72%，部分土地密集型品类（如玉米）的生产成本逼近俄罗斯，使得静态比较优势分析需引入动态调整机制。因此，本文在继承比较优势核心逻辑的基础上，进一步纳入地缘政治成本与技术演进变量，构建动态化的国际分工分析框架，以更精准解析中俄农产品贸易的结构变迁。</w:t>
      </w:r>
    </w:p>
    <w:p w14:paraId="544AF40D">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eastAsia="zh-CN"/>
        </w:rPr>
      </w:pPr>
      <w:bookmarkStart w:id="28" w:name="_Toc19066"/>
      <w:r>
        <w:rPr>
          <w:rFonts w:hint="eastAsia" w:ascii="Times New Roman" w:hAnsi="Times New Roman" w:cs="Times New Roman"/>
          <w:bCs/>
          <w:color w:val="000000"/>
          <w:kern w:val="2"/>
          <w:lang w:eastAsia="zh-CN"/>
        </w:rPr>
        <w:t>2.1.2</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要素禀赋理论（H-O模型）的适用性分析</w:t>
      </w:r>
      <w:bookmarkEnd w:id="28"/>
    </w:p>
    <w:p w14:paraId="212A69D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i w:val="0"/>
          <w:color w:val="333333"/>
          <w:sz w:val="24"/>
          <w:szCs w:val="24"/>
          <w:lang w:val="en-US"/>
        </w:rPr>
      </w:pPr>
      <w:r>
        <w:rPr>
          <w:rFonts w:hint="default" w:ascii="宋体" w:hAnsi="宋体" w:eastAsia="宋体" w:cs="宋体"/>
          <w:b w:val="0"/>
          <w:i w:val="0"/>
          <w:color w:val="333333"/>
          <w:sz w:val="24"/>
          <w:szCs w:val="24"/>
          <w:lang w:val="en-US" w:eastAsia="zh-CN"/>
        </w:rPr>
        <w:t>要素禀赋理论（Heckscher-Ohlin模型，H-O模型）继承并拓展了比较优势理论，强调国际贸易的动因源于各国生产要素禀赋的差异，即一国应出口密集使用其丰裕要素的产品，进口密集使用稀缺要素的产品。这一理论为中俄农产品贸易的结构性特征提供了更深层次的解释框架。</w:t>
      </w:r>
    </w:p>
    <w:p w14:paraId="513F8CB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333333"/>
          <w:sz w:val="21"/>
          <w:szCs w:val="21"/>
          <w:lang w:val="en-US" w:eastAsia="zh-CN"/>
        </w:rPr>
      </w:pPr>
      <w:r>
        <w:rPr>
          <w:rFonts w:hint="eastAsia" w:ascii="宋体" w:hAnsi="宋体" w:eastAsia="宋体" w:cs="宋体"/>
          <w:b w:val="0"/>
          <w:i w:val="0"/>
          <w:color w:val="333333"/>
          <w:sz w:val="21"/>
          <w:szCs w:val="21"/>
          <w:lang w:val="en-US" w:eastAsia="zh-CN"/>
        </w:rPr>
        <w:t xml:space="preserve">表5 </w:t>
      </w:r>
      <w:r>
        <w:rPr>
          <w:rFonts w:hint="default" w:ascii="宋体" w:hAnsi="宋体" w:eastAsia="宋体" w:cs="宋体"/>
          <w:b w:val="0"/>
          <w:i w:val="0"/>
          <w:color w:val="333333"/>
          <w:sz w:val="21"/>
          <w:szCs w:val="21"/>
          <w:lang w:val="en-US" w:eastAsia="zh-CN"/>
        </w:rPr>
        <w:t>中俄农业要素禀赋对比</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2370"/>
        <w:gridCol w:w="1740"/>
        <w:gridCol w:w="4579"/>
      </w:tblGrid>
      <w:tr w14:paraId="53DB6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3DE63A6D">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​指标​</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33B5B8E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​中国​</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4579"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30DC121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​俄罗斯​</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6EDC8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13FCEA8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农业劳动力总量</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979109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1.7亿人</w:t>
            </w:r>
          </w:p>
        </w:tc>
        <w:tc>
          <w:tcPr>
            <w:tcW w:w="4579" w:type="dxa"/>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76B80E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480万人（占就业6.3%）</w:t>
            </w:r>
          </w:p>
        </w:tc>
      </w:tr>
      <w:tr w14:paraId="1BA2A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E7C006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人均耕地面积</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8C3C88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0.09公顷</w:t>
            </w:r>
          </w:p>
        </w:tc>
        <w:tc>
          <w:tcPr>
            <w:tcW w:w="4579" w:type="dxa"/>
            <w:tcBorders>
              <w:top w:val="nil"/>
              <w:left w:val="nil"/>
              <w:bottom w:val="nil"/>
              <w:right w:val="nil"/>
            </w:tcBorders>
            <w:shd w:val="clear" w:color="auto" w:fill="FFFFFF"/>
            <w:tcMar>
              <w:top w:w="180" w:type="dxa"/>
              <w:left w:w="240" w:type="dxa"/>
              <w:bottom w:w="180" w:type="dxa"/>
              <w:right w:w="240" w:type="dxa"/>
            </w:tcMar>
            <w:vAlign w:val="center"/>
          </w:tcPr>
          <w:p w14:paraId="3B23F8E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1.4公顷</w:t>
            </w:r>
          </w:p>
        </w:tc>
      </w:tr>
      <w:tr w14:paraId="5D4D2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E6E3AC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农业机械化率</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494A55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72%</w:t>
            </w:r>
          </w:p>
        </w:tc>
        <w:tc>
          <w:tcPr>
            <w:tcW w:w="4579" w:type="dxa"/>
            <w:tcBorders>
              <w:top w:val="nil"/>
              <w:left w:val="nil"/>
              <w:bottom w:val="nil"/>
              <w:right w:val="nil"/>
            </w:tcBorders>
            <w:shd w:val="clear" w:color="auto" w:fill="FFFFFF"/>
            <w:tcMar>
              <w:top w:w="180" w:type="dxa"/>
              <w:left w:w="240" w:type="dxa"/>
              <w:bottom w:w="180" w:type="dxa"/>
              <w:right w:w="240" w:type="dxa"/>
            </w:tcMar>
            <w:vAlign w:val="center"/>
          </w:tcPr>
          <w:p w14:paraId="3EC73DDD">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58%</w:t>
            </w:r>
          </w:p>
        </w:tc>
      </w:tr>
      <w:tr w14:paraId="34B15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A415DB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土地生产率（蔬菜）</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4B100B4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38吨/公顷</w:t>
            </w:r>
          </w:p>
        </w:tc>
        <w:tc>
          <w:tcPr>
            <w:tcW w:w="4579" w:type="dxa"/>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6468FB9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9吨/公顷</w:t>
            </w:r>
          </w:p>
        </w:tc>
      </w:tr>
    </w:tbl>
    <w:p w14:paraId="357AB7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val="0"/>
          <w:i w:val="0"/>
          <w:color w:val="333333"/>
          <w:sz w:val="24"/>
          <w:szCs w:val="24"/>
        </w:rPr>
      </w:pPr>
    </w:p>
    <w:p w14:paraId="7D8C972A">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中俄两国的要素禀赋差异体现为劳动力-土地要素的显著不对等。中国作为人口大国，农业劳动力总量达1.7亿人（国家统计局，2023），劳动力成本相对低廉，而俄罗斯农业劳动力仅占全国就业人口的6.3%（俄罗斯联邦统计局，2023），但人均耕地面积高达1.4公顷，是中国的9倍（世界银行，2023）。根据H-O模型的逻辑，中国应出口劳动密集型农产品（如蔬菜、水果），而俄罗斯应出口土地密集型产品（如小麦、大豆）。实证数据显示，2023年中国对俄出口的蔬菜、水果占农产品出口总额的58%，其中番茄、洋葱等品类的劳动密集度系数（单位产值劳动力投入）达0.78，显著高于俄罗斯同类产品的0.32（农业农村部，2023）；而俄罗斯对华出口的小麦、大豆占其对华农产品出口的74%，土地密集度系数（单位产值耕地占用）为0.65，远超中国本土小麦生产的0.21（UN Comtrade，2023）。这一贸易结构高度契合H-O模型的预测，印证了要素禀赋差异对双边分工的基础性作用。</w:t>
      </w:r>
    </w:p>
    <w:p w14:paraId="6EEA337E">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然而，H-O模型在中俄农产品贸易中的适用性面临三方面挑战：</w:t>
      </w:r>
    </w:p>
    <w:p w14:paraId="783A70CD">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技术差异对要素密集度的扭曲：中国通过农业技术创新（如智能温室、精准灌溉）大幅降低了土地要素依赖。例如，中国设施蔬菜生产的土地生产率达俄罗斯露天种植的4.2倍（冯笑，2025），使得部分品类（如菌类）虽属劳动密集型，但土地要素的边际贡献显著提升，削弱了传统要素禀赋的解释力。</w:t>
      </w:r>
    </w:p>
    <w:p w14:paraId="68D8CD75">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政策干预对要素流动的限制：俄罗斯自2014年起实施的农产品进口替代战略，通过补贴、关税壁垒等政策人为抑制土地密集型产品出口。2022年俄乌冲突后，俄罗斯小麦出口配额缩减至3000万吨（俄罗斯农业部，2023），导致其对华小麦出口占比从2021年的15%下降至2023年的12%，与H-O模型的自由市场假设产生偏差。</w:t>
      </w:r>
    </w:p>
    <w:p w14:paraId="6918F74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地缘政治对要素成本的冲击：西方制裁导致俄罗斯农业机械进口受阻，资本要素稀缺性上升，推高土地密集型产品的生产成本。2023年俄罗斯大豆种植的机械化成本同比增加23%，削弱了其土地禀赋优势（Smith &amp; Johnson，2022）。</w:t>
      </w:r>
    </w:p>
    <w:p w14:paraId="676F82F3">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因此，本文</w:t>
      </w:r>
      <w:r>
        <w:rPr>
          <w:rFonts w:hint="eastAsia" w:ascii="宋体" w:hAnsi="宋体" w:eastAsia="宋体" w:cs="宋体"/>
          <w:b w:val="0"/>
          <w:i w:val="0"/>
          <w:color w:val="333333"/>
          <w:sz w:val="24"/>
          <w:szCs w:val="24"/>
          <w:lang w:val="en-US" w:eastAsia="zh-CN"/>
        </w:rPr>
        <w:t>并不适合引入</w:t>
      </w:r>
      <w:r>
        <w:rPr>
          <w:rFonts w:hint="default" w:ascii="宋体" w:hAnsi="宋体" w:eastAsia="宋体" w:cs="宋体"/>
          <w:b w:val="0"/>
          <w:i w:val="0"/>
          <w:color w:val="333333"/>
          <w:sz w:val="24"/>
          <w:szCs w:val="24"/>
          <w:lang w:val="en-US" w:eastAsia="zh-CN"/>
        </w:rPr>
        <w:t>H-O</w:t>
      </w:r>
      <w:r>
        <w:rPr>
          <w:rFonts w:hint="eastAsia" w:ascii="宋体" w:hAnsi="宋体" w:eastAsia="宋体" w:cs="宋体"/>
          <w:b w:val="0"/>
          <w:i w:val="0"/>
          <w:color w:val="333333"/>
          <w:sz w:val="24"/>
          <w:szCs w:val="24"/>
          <w:lang w:val="en-US" w:eastAsia="zh-CN"/>
        </w:rPr>
        <w:t>模型来进行分析。</w:t>
      </w:r>
    </w:p>
    <w:p w14:paraId="448A00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pPr>
    </w:p>
    <w:p w14:paraId="1EA80801">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sz w:val="28"/>
          <w:szCs w:val="28"/>
        </w:rPr>
      </w:pPr>
      <w:bookmarkStart w:id="29" w:name="_Toc14836"/>
      <w:r>
        <w:rPr>
          <w:rFonts w:hint="eastAsia" w:ascii="黑体" w:hAnsi="黑体" w:eastAsia="黑体" w:cs="黑体"/>
          <w:b w:val="0"/>
          <w:bCs/>
          <w:sz w:val="28"/>
          <w:szCs w:val="28"/>
        </w:rPr>
        <w:t>2.2</w:t>
      </w:r>
      <w:r>
        <w:rPr>
          <w:rFonts w:hint="eastAsia" w:ascii="黑体" w:hAnsi="黑体" w:eastAsia="黑体" w:cs="黑体"/>
          <w:b w:val="0"/>
          <w:bCs/>
          <w:sz w:val="28"/>
          <w:szCs w:val="28"/>
          <w:lang w:val="en-US" w:eastAsia="zh-CN"/>
        </w:rPr>
        <w:t xml:space="preserve"> </w:t>
      </w:r>
      <w:r>
        <w:rPr>
          <w:rFonts w:hint="eastAsia" w:ascii="黑体" w:hAnsi="黑体" w:eastAsia="黑体" w:cs="黑体"/>
          <w:b w:val="0"/>
          <w:bCs/>
          <w:sz w:val="28"/>
          <w:szCs w:val="28"/>
        </w:rPr>
        <w:t xml:space="preserve"> 产业集群理论</w:t>
      </w:r>
      <w:bookmarkEnd w:id="29"/>
    </w:p>
    <w:p w14:paraId="3DE94CA6">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eastAsia="zh-CN"/>
        </w:rPr>
      </w:pPr>
      <w:bookmarkStart w:id="30" w:name="_Toc9429"/>
      <w:r>
        <w:rPr>
          <w:rFonts w:hint="eastAsia" w:ascii="Times New Roman" w:hAnsi="Times New Roman" w:cs="Times New Roman"/>
          <w:bCs/>
          <w:color w:val="000000"/>
          <w:kern w:val="2"/>
          <w:lang w:eastAsia="zh-CN"/>
        </w:rPr>
        <w:t>2.2.1</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产业集群的形成机制与竞争优势</w:t>
      </w:r>
      <w:bookmarkEnd w:id="30"/>
    </w:p>
    <w:p w14:paraId="5F02ADA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产业集群的形成机制与竞争优势是区域经济发展的重要理论基础，其核心在于通过地理集中、专业化分工和协同创新实现资源的高效配置与整体竞争力提升。以下从形成机制与竞争优势两方面展开论述，并结合现实案例与理论批判进行综合分析。</w:t>
      </w:r>
    </w:p>
    <w:p w14:paraId="5BFF287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产业集群的形成是多重因素动态作用的结果。要素集聚与成本驱动是初始动力，企业通过地理集中共享劳动力、基础设施和中间投入品，显著降低交易成本。例如，浙江温州乐清电气产业集群依托20世纪80年代起步的产业基础，通过政府政策引导与市场自发集聚，形成万余家电气企业的规模效应，单位生产成本较分散模式降低约25%。产业链垂直分解与专业化分工​​进一步推动企业聚集，如东莞电子信息产业集群以华为、OPPO等龙头企业为核心，外包非核心环节吸引上千家配套企业，形成“核心企业+配套网络”的分工体系，交易效率提升30%以上。</w:t>
      </w:r>
    </w:p>
    <w:p w14:paraId="39ACEB2F">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政策引导与制度创新在产业集群形成中发挥关键作用。苏州工业园区通过“产业链招商”政策吸引半导体企业集中布局，2023年产值突破5000亿元，占全国半导体产业规模的18%。这一过程契合波特钻石模型中要素条件与政策协同的逻辑。此外，知识溢出与创新网络的构建加速了技术扩散，北京中关村科技园通过高校、科研机构与企业的紧密合作，2023年专利申请量占全国高新技术产业的12%，研发投入强度达6.3%，凸显地理邻近性对隐性知识传播的促进作用。</w:t>
      </w:r>
    </w:p>
    <w:p w14:paraId="2AB1E49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值得注意的是，产业集群的形成具有根植性，即经济行为嵌入区域社会、文化与制度关系中。例如，浙江义乌小商品产业集群依托历史商业传统与地方社会资本，形成独特的“市场型”中小企业网络，其竞争力不仅源于成本优势，更依赖长期积累的信任关系与产业氛围。</w:t>
      </w:r>
    </w:p>
    <w:p w14:paraId="43A9408E">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产业集群的竞争优势体现在成本、创新、韧性与品牌四个维度。成本优势与规模经济是基础特征，佛山陶瓷产业集群集中全球60%的陶瓷生产线，燃料、物流和模具采购成本较分散企业低15%-20%，形成显著的规模效应。创新协同与动态竞争力则是高阶优势，深圳电子信息产业集群通过龙头企业与中小企业的开放创新平台，5G和AI技术成果转化率较全国平均水平高40%，验证了波特关于“竞争压力驱动创新”的论断。</w:t>
      </w:r>
    </w:p>
    <w:p w14:paraId="3323427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产业链韧性与风险抵御能力在外部冲击下尤为突出。2022年全球芯片短缺期间，上海张江集成电路产业集群依托本地化供应链，产能恢复速度较国际同行快30%，表明多元化的供应商网络可增强抗风险能力。区域品牌与市场影响力则通过地理标识形成溢价效应，法国波尔多葡萄酒产业集群凭借统一的产地认证标准，2023年出口单价较非集群产区高50%，全球市场份额达28%。</w:t>
      </w:r>
    </w:p>
    <w:p w14:paraId="7845823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传统产业集群理论在数字经济时代面临挑战。虚拟集聚突破了地理集中性限制，2023年中国跨境B2B交易中45%通过虚拟集群完成，企业无需物理集聚即可共享全球供应链。同时，政策过度干预可能导致同质化竞争，2023年全国238个“人工智能产业园”中70%存在定位重叠问题，暴露盲目复制“硅谷模式”的弊端。</w:t>
      </w:r>
    </w:p>
    <w:p w14:paraId="30708603">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对此，需引入动态能力理论与数字技术变量，构建“物理-虚拟”双维集群模型。例如，河北邢台市推广“共享车间”集中处理辐照加工环节，降本增效15%-30%；山东邹平市通过铝产业链国际标准制定推动绿色转型，显示标准化与数字化对传统集群升级的赋能作用。这一修正框架不仅增强理论解释力，也为区域政策制定提供新方向。</w:t>
      </w:r>
    </w:p>
    <w:p w14:paraId="5ACF7921">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eastAsia="zh-CN"/>
        </w:rPr>
      </w:pPr>
      <w:bookmarkStart w:id="31" w:name="_Toc25400"/>
      <w:r>
        <w:rPr>
          <w:rFonts w:hint="eastAsia" w:ascii="Times New Roman" w:hAnsi="Times New Roman" w:cs="Times New Roman"/>
          <w:bCs/>
          <w:color w:val="000000"/>
          <w:kern w:val="2"/>
          <w:lang w:eastAsia="zh-CN"/>
        </w:rPr>
        <w:t>2.2.2</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产业集群对出口竞争力的提升路径</w:t>
      </w:r>
      <w:bookmarkEnd w:id="31"/>
    </w:p>
    <w:p w14:paraId="60E4452A">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产业集群对出口竞争力的提升作用源于其通过资源整合、效率优化与协同创新形成的系统性优势。从中俄农产品贸易实践来看，产业集群的出口竞争力提升路径可归纳为成本控制、技术升级与风险分散</w:t>
      </w:r>
      <w:r>
        <w:rPr>
          <w:rFonts w:hint="eastAsia" w:ascii="宋体" w:hAnsi="宋体" w:eastAsia="宋体" w:cs="宋体"/>
          <w:b w:val="0"/>
          <w:i w:val="0"/>
          <w:color w:val="333333"/>
          <w:sz w:val="24"/>
          <w:szCs w:val="24"/>
          <w:lang w:val="en-US" w:eastAsia="zh-CN"/>
        </w:rPr>
        <w:t>三</w:t>
      </w:r>
      <w:r>
        <w:rPr>
          <w:rFonts w:hint="default" w:ascii="宋体" w:hAnsi="宋体" w:eastAsia="宋体" w:cs="宋体"/>
          <w:b w:val="0"/>
          <w:i w:val="0"/>
          <w:color w:val="333333"/>
          <w:sz w:val="24"/>
          <w:szCs w:val="24"/>
          <w:lang w:val="en-US" w:eastAsia="zh-CN"/>
        </w:rPr>
        <w:t>个维度，以下结合理论与案例展开分析。</w:t>
      </w:r>
    </w:p>
    <w:p w14:paraId="7FEBAB1D">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成本控制路径是产业集群提升出口竞争力的基础。地理集中显著降低企业的运输、仓储与信息搜寻成本，同时通过规模效应摊薄固定投入。以黑龙江大豆加工产业集群为例，区域内集聚了九三粮油、北大荒集团等龙头企业及200余家配套企业，共享仓储物流设施与采购渠道，使大豆压榨成本较分散模式降低18%-22%。2023年该集群对俄大豆油出口量占全国总量的35%，单位成本优势转化为出口价格竞争力，推动对俄市场份额提升12%（农业农村部，2023）。马歇尔的产业区理论在此得到验证，即专业化分工与要素共享形成的外部经济效应，是出口成本优势的核心来源。</w:t>
      </w:r>
    </w:p>
    <w:p w14:paraId="35CEA29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技术升级路径体现为产业集群内的知识溢出与协同创新。深圳跨境电商产业集群通过“龙头企业+孵化器”模式，构建覆盖农产品溯源、跨境支付与智能物流的技术创新网络。2023年该集群企业研发投入强度达4.5%，高出全国农业企业平均水平2.8倍，推动生鲜农产品通关时效从72小时缩短至24小时，损耗率从15%降至5%以下（中国海关总署，2024）。这种技术创新不仅提升出口效率，更通过差异化产品（如区块链溯源认证的有机大豆）实现附加值跃升，2023年深加工农产品出口单价较初级产品高3.2倍，印证了波特关于“集群创新驱动价值升级”的论断。</w:t>
      </w:r>
    </w:p>
    <w:p w14:paraId="0631BB1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风险分散路径表现为产业集群通过多元化主体与弹性供应链增强抗风险能力。广西凭祥水果跨境产业集群整合种植、加工、物流与贸易企业，构建“多节点、多通道”的供应链网络。2022年越南边境口岸因疫情关闭期间，该集群迅速启用中老铁路替代线路，并通过数字化平台协调中俄企业库存，使榴莲、火龙果等时效敏感品类的对俄出口量逆势增长17%，而同期东南亚其他产区出口下降23%（Smith &amp; Johnson，2022）。这一案例表明，产业集群的弹性供应链网络能够有效应对外部冲击，降低地缘政治与市场波动的负面影响。</w:t>
      </w:r>
    </w:p>
    <w:p w14:paraId="41096FAD">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理论修正与局限</w:t>
      </w:r>
    </w:p>
    <w:p w14:paraId="1C05FBF3">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尽管上述路径在中俄农产品贸易中成效显著，但需警惕两类潜在风险：</w:t>
      </w:r>
    </w:p>
    <w:p w14:paraId="67EDAF21">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过度集聚导致的路径依赖：部分集群过度依赖单一市场（如远东地区），2023年东北对俄蔬菜出口中70%集中于绥芬河口岸，一旦俄方调整边境政策将引发系统性风险。</w:t>
      </w:r>
    </w:p>
    <w:p w14:paraId="55C6235F">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创新同质化削弱竞争优势：部分企业盲目模仿集群内成功模式，导致产品结构趋同。2023年山东寿光对俄出口的番茄品类中，85%为传统红果番茄，而俄罗斯市场需求向樱桃番茄、黄番茄等特色品种转移，暴露出创新方向与市场需求错配问题。</w:t>
      </w:r>
    </w:p>
    <w:p w14:paraId="6608873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因此，未来产业集群升级需向“智能集群”转型，通过物联网、大数据等技术实现精准供需匹配。例如，杭州跨境数字农业集群利用AI算法分析俄罗斯电商平台销售数据，指导企业动态调整品类结构，2023年其定制化农产品出口额同比增长45%，退货率下降至3%以下（中国商务部，2024）。这一实践显示，数字化赋能的产业集群能够突破传统路径局限，实现出口竞争力的可持续提升。</w:t>
      </w:r>
    </w:p>
    <w:p w14:paraId="3DDBF11F">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sz w:val="28"/>
          <w:szCs w:val="28"/>
        </w:rPr>
      </w:pPr>
      <w:bookmarkStart w:id="32" w:name="_Toc27181"/>
      <w:r>
        <w:rPr>
          <w:rFonts w:hint="eastAsia" w:ascii="黑体" w:hAnsi="黑体" w:eastAsia="黑体" w:cs="黑体"/>
          <w:b w:val="0"/>
          <w:bCs/>
          <w:sz w:val="28"/>
          <w:szCs w:val="28"/>
        </w:rPr>
        <w:t>2.</w:t>
      </w:r>
      <w:r>
        <w:rPr>
          <w:rFonts w:hint="eastAsia" w:ascii="黑体" w:hAnsi="黑体" w:eastAsia="黑体" w:cs="黑体"/>
          <w:b w:val="0"/>
          <w:bCs/>
          <w:sz w:val="28"/>
          <w:szCs w:val="28"/>
          <w:lang w:val="en-US" w:eastAsia="zh-CN"/>
        </w:rPr>
        <w:t xml:space="preserve">3 </w:t>
      </w:r>
      <w:r>
        <w:rPr>
          <w:rFonts w:hint="eastAsia" w:ascii="黑体" w:hAnsi="黑体" w:eastAsia="黑体" w:cs="黑体"/>
          <w:b w:val="0"/>
          <w:bCs/>
          <w:sz w:val="28"/>
          <w:szCs w:val="28"/>
        </w:rPr>
        <w:t xml:space="preserve"> 市场进入理论</w:t>
      </w:r>
      <w:bookmarkEnd w:id="32"/>
    </w:p>
    <w:p w14:paraId="23598ABE">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eastAsia="zh-CN"/>
        </w:rPr>
      </w:pPr>
      <w:bookmarkStart w:id="33" w:name="_Toc4451"/>
      <w:r>
        <w:rPr>
          <w:rFonts w:hint="eastAsia" w:ascii="Times New Roman" w:hAnsi="Times New Roman" w:cs="Times New Roman"/>
          <w:bCs/>
          <w:color w:val="000000"/>
          <w:kern w:val="2"/>
          <w:lang w:eastAsia="zh-CN"/>
        </w:rPr>
        <w:t>2.</w:t>
      </w:r>
      <w:r>
        <w:rPr>
          <w:rFonts w:hint="eastAsia" w:ascii="Times New Roman" w:hAnsi="Times New Roman" w:cs="Times New Roman"/>
          <w:bCs/>
          <w:color w:val="000000"/>
          <w:kern w:val="2"/>
          <w:lang w:val="en-US" w:eastAsia="zh-CN"/>
        </w:rPr>
        <w:t>3</w:t>
      </w:r>
      <w:r>
        <w:rPr>
          <w:rFonts w:hint="eastAsia" w:ascii="Times New Roman" w:hAnsi="Times New Roman" w:cs="Times New Roman"/>
          <w:bCs/>
          <w:color w:val="000000"/>
          <w:kern w:val="2"/>
          <w:lang w:eastAsia="zh-CN"/>
        </w:rPr>
        <w:t>.1</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市场进入模式选择：出口、直接投资与战略联盟</w:t>
      </w:r>
      <w:bookmarkEnd w:id="33"/>
    </w:p>
    <w:p w14:paraId="39C5CF1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中俄农产品贸易中，企业市场进入模式的选择受地缘风险、政策壁垒与资源禀赋的综合影响。出口模式仍是当前主要方式，2023年中国对俄农产品出口中直接贸易占比达76%，其优势在于灵活性高，可通过边境小额贸易快速响应俄罗斯远东地区的季节性需求。但出口模式面临物流效率与认证壁垒的制约，例如2023年因俄罗斯EAC标准不符导致的退货损失超2亿美元。</w:t>
      </w:r>
    </w:p>
    <w:p w14:paraId="62C29FF1">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直接投资模式通过本土化生产规避贸易壁垒。例如新希望集团在俄罗斯滨海边疆区投建生猪养殖基地，2023年产能占俄远东猪肉供应的15%，本地化生产使运输成本降低40%。然而，俄方外资准入限制（如农业用地外资持股上限49%）与政策不确定性增加了投资风险。</w:t>
      </w:r>
    </w:p>
    <w:p w14:paraId="1B0F8E8E">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战略联盟模式通过资源整合实现风险共担。中粮集团与俄罗斯农业集团Rusagro共建大豆联合加工厂，中方提供技术与资金（占比60%），俄方提供土地与原料（占比40%），2023年联合品牌产品在俄市场份额提升至12%。该模式需平衡文化差异与治理协调成本，但长期看更具可持续性。</w:t>
      </w:r>
    </w:p>
    <w:p w14:paraId="38C337BD">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当前，跨境电商等混合模式逐渐兴起。例如拼多多旗下Temu平台通过“海外仓直发+本地化运营”将对俄物流时效缩短至7天，2023年农产品复购率提升至35%。数字化工具正在重塑传统进入模式的边界，要求企业动态调整策略以应对地缘与技术变量的双重挑战。</w:t>
      </w:r>
    </w:p>
    <w:p w14:paraId="27E5883A">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eastAsia="zh-CN"/>
        </w:rPr>
      </w:pPr>
      <w:bookmarkStart w:id="34" w:name="_Toc8237"/>
      <w:r>
        <w:rPr>
          <w:rFonts w:hint="eastAsia" w:ascii="Times New Roman" w:hAnsi="Times New Roman" w:cs="Times New Roman"/>
          <w:bCs/>
          <w:color w:val="000000"/>
          <w:kern w:val="2"/>
          <w:lang w:eastAsia="zh-CN"/>
        </w:rPr>
        <w:t>2.</w:t>
      </w:r>
      <w:r>
        <w:rPr>
          <w:rFonts w:hint="eastAsia" w:ascii="Times New Roman" w:hAnsi="Times New Roman" w:cs="Times New Roman"/>
          <w:bCs/>
          <w:color w:val="000000"/>
          <w:kern w:val="2"/>
          <w:lang w:val="en-US" w:eastAsia="zh-CN"/>
        </w:rPr>
        <w:t>3</w:t>
      </w:r>
      <w:r>
        <w:rPr>
          <w:rFonts w:hint="eastAsia" w:ascii="Times New Roman" w:hAnsi="Times New Roman" w:cs="Times New Roman"/>
          <w:bCs/>
          <w:color w:val="000000"/>
          <w:kern w:val="2"/>
          <w:lang w:eastAsia="zh-CN"/>
        </w:rPr>
        <w:t>.2</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市场进入壁垒与风险理论</w:t>
      </w:r>
      <w:bookmarkEnd w:id="34"/>
    </w:p>
    <w:p w14:paraId="36EFD23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中俄农产品贸易的市场进入壁垒主要包括政策、技术与运营三类。政策壁垒源于俄罗斯的进口限制与政策波动，例如2022年俄农业部将大豆进口关税从0.5%上调至5%，导致中国对俄大豆油出口利润压缩12%。技术壁垒表现为认证标准差异，俄罗斯EAC认证对农药残留、标签标识的要求严于中国GB标准，2023年因检测超标导致的退货占对俄出口总量的8.7%，损失达2.3亿美元。运营壁垒则涉及物流瓶颈与信息不对称，中俄边境口岸冷链仓储缺口约40万吨，黑龙江对俄果蔬出口因运输延误导致的损耗率高达18%。</w:t>
      </w:r>
    </w:p>
    <w:p w14:paraId="6774FFD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市场进入风险分为系统性风险与非系统性风险。系统性风险与地缘政治高度相关，例如2022年俄乌冲突导致卢布汇率波动率增至35%，中企对俄出口账期延长至90天以上，资金周转成本上升25%。非系统性风险源于企业资源能力不足，例如中小型出口企业因缺乏俄语合规人才，EAC认证通过率仅为53%，远低于龙头企业的89%。</w:t>
      </w:r>
    </w:p>
    <w:p w14:paraId="4BD848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333333"/>
          <w:sz w:val="24"/>
          <w:szCs w:val="24"/>
          <w:lang w:val="en-US" w:eastAsia="zh-CN"/>
        </w:rPr>
      </w:pPr>
      <w:r>
        <w:rPr>
          <w:rFonts w:hint="eastAsia" w:ascii="宋体" w:hAnsi="宋体" w:eastAsia="宋体" w:cs="宋体"/>
          <w:b w:val="0"/>
          <w:i w:val="0"/>
          <w:color w:val="333333"/>
          <w:sz w:val="21"/>
          <w:szCs w:val="21"/>
          <w:lang w:val="en-US" w:eastAsia="zh-CN"/>
        </w:rPr>
        <w:t>表6 俄农产品市场进入壁垒与风险</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2580"/>
        <w:gridCol w:w="3420"/>
        <w:gridCol w:w="2782"/>
      </w:tblGrid>
      <w:tr w14:paraId="0F227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09B47FEA">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​类别​</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616262F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​具体指标​</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2782"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47E0C20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​数据​</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402F2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1599853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​政策壁垒​</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1DF8D41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俄罗斯大豆进口关税上调幅度</w:t>
            </w:r>
          </w:p>
        </w:tc>
        <w:tc>
          <w:tcPr>
            <w:tcW w:w="2782" w:type="dxa"/>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7BCE0A3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0.5% → 5%</w:t>
            </w:r>
          </w:p>
        </w:tc>
      </w:tr>
      <w:tr w14:paraId="0710C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D218CDA">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ADAA53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中国对俄大豆油利润压缩率</w:t>
            </w:r>
          </w:p>
        </w:tc>
        <w:tc>
          <w:tcPr>
            <w:tcW w:w="2782" w:type="dxa"/>
            <w:tcBorders>
              <w:top w:val="nil"/>
              <w:left w:val="nil"/>
              <w:bottom w:val="nil"/>
              <w:right w:val="nil"/>
            </w:tcBorders>
            <w:shd w:val="clear" w:color="auto" w:fill="FFFFFF"/>
            <w:tcMar>
              <w:top w:w="180" w:type="dxa"/>
              <w:left w:w="240" w:type="dxa"/>
              <w:bottom w:w="180" w:type="dxa"/>
              <w:right w:w="240" w:type="dxa"/>
            </w:tcMar>
            <w:vAlign w:val="center"/>
          </w:tcPr>
          <w:p w14:paraId="4438544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12%</w:t>
            </w:r>
          </w:p>
        </w:tc>
      </w:tr>
      <w:tr w14:paraId="7F09B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21438B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​技术壁垒​</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66FCCB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EAC认证退货率</w:t>
            </w:r>
          </w:p>
        </w:tc>
        <w:tc>
          <w:tcPr>
            <w:tcW w:w="2782" w:type="dxa"/>
            <w:tcBorders>
              <w:top w:val="nil"/>
              <w:left w:val="nil"/>
              <w:bottom w:val="nil"/>
              <w:right w:val="nil"/>
            </w:tcBorders>
            <w:shd w:val="clear" w:color="auto" w:fill="FFFFFF"/>
            <w:tcMar>
              <w:top w:w="180" w:type="dxa"/>
              <w:left w:w="240" w:type="dxa"/>
              <w:bottom w:w="180" w:type="dxa"/>
              <w:right w:w="240" w:type="dxa"/>
            </w:tcMar>
            <w:vAlign w:val="center"/>
          </w:tcPr>
          <w:p w14:paraId="5EC06C3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8.7%</w:t>
            </w:r>
          </w:p>
        </w:tc>
      </w:tr>
      <w:tr w14:paraId="01EFC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B3E2241">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00A7A5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因技术壁垒导致的年损失</w:t>
            </w:r>
          </w:p>
        </w:tc>
        <w:tc>
          <w:tcPr>
            <w:tcW w:w="2782" w:type="dxa"/>
            <w:tcBorders>
              <w:top w:val="nil"/>
              <w:left w:val="nil"/>
              <w:bottom w:val="nil"/>
              <w:right w:val="nil"/>
            </w:tcBorders>
            <w:shd w:val="clear" w:color="auto" w:fill="FFFFFF"/>
            <w:tcMar>
              <w:top w:w="180" w:type="dxa"/>
              <w:left w:w="240" w:type="dxa"/>
              <w:bottom w:w="180" w:type="dxa"/>
              <w:right w:w="240" w:type="dxa"/>
            </w:tcMar>
            <w:vAlign w:val="center"/>
          </w:tcPr>
          <w:p w14:paraId="4CA497C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2.3亿美元</w:t>
            </w:r>
          </w:p>
        </w:tc>
      </w:tr>
      <w:tr w14:paraId="73FD1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F9BA8C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​运营壁垒​</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E5CAC0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中俄边境冷链仓储缺口</w:t>
            </w:r>
          </w:p>
        </w:tc>
        <w:tc>
          <w:tcPr>
            <w:tcW w:w="2782" w:type="dxa"/>
            <w:tcBorders>
              <w:top w:val="nil"/>
              <w:left w:val="nil"/>
              <w:bottom w:val="nil"/>
              <w:right w:val="nil"/>
            </w:tcBorders>
            <w:shd w:val="clear" w:color="auto" w:fill="FFFFFF"/>
            <w:tcMar>
              <w:top w:w="180" w:type="dxa"/>
              <w:left w:w="240" w:type="dxa"/>
              <w:bottom w:w="180" w:type="dxa"/>
              <w:right w:w="240" w:type="dxa"/>
            </w:tcMar>
            <w:vAlign w:val="center"/>
          </w:tcPr>
          <w:p w14:paraId="143B045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40万吨</w:t>
            </w:r>
          </w:p>
        </w:tc>
      </w:tr>
      <w:tr w14:paraId="2D7F5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B88334B">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C0FCAC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黑龙江对俄果蔬运输损耗率</w:t>
            </w:r>
          </w:p>
        </w:tc>
        <w:tc>
          <w:tcPr>
            <w:tcW w:w="2782" w:type="dxa"/>
            <w:tcBorders>
              <w:top w:val="nil"/>
              <w:left w:val="nil"/>
              <w:bottom w:val="nil"/>
              <w:right w:val="nil"/>
            </w:tcBorders>
            <w:shd w:val="clear" w:color="auto" w:fill="FFFFFF"/>
            <w:tcMar>
              <w:top w:w="180" w:type="dxa"/>
              <w:left w:w="240" w:type="dxa"/>
              <w:bottom w:w="180" w:type="dxa"/>
              <w:right w:w="240" w:type="dxa"/>
            </w:tcMar>
            <w:vAlign w:val="center"/>
          </w:tcPr>
          <w:p w14:paraId="071AB61D">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18%</w:t>
            </w:r>
          </w:p>
        </w:tc>
      </w:tr>
      <w:tr w14:paraId="01DF5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D048E8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​系统性风险​</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6F82E6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卢布汇率波动率（俄乌冲突后）</w:t>
            </w:r>
          </w:p>
        </w:tc>
        <w:tc>
          <w:tcPr>
            <w:tcW w:w="2782" w:type="dxa"/>
            <w:tcBorders>
              <w:top w:val="nil"/>
              <w:left w:val="nil"/>
              <w:bottom w:val="nil"/>
              <w:right w:val="nil"/>
            </w:tcBorders>
            <w:shd w:val="clear" w:color="auto" w:fill="FFFFFF"/>
            <w:tcMar>
              <w:top w:w="180" w:type="dxa"/>
              <w:left w:w="240" w:type="dxa"/>
              <w:bottom w:w="180" w:type="dxa"/>
              <w:right w:w="240" w:type="dxa"/>
            </w:tcMar>
            <w:vAlign w:val="center"/>
          </w:tcPr>
          <w:p w14:paraId="48B08D1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35%</w:t>
            </w:r>
          </w:p>
        </w:tc>
      </w:tr>
      <w:tr w14:paraId="55F2E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48B29AA">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5D477A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中企对俄出口账期延长</w:t>
            </w:r>
          </w:p>
        </w:tc>
        <w:tc>
          <w:tcPr>
            <w:tcW w:w="2782" w:type="dxa"/>
            <w:tcBorders>
              <w:top w:val="nil"/>
              <w:left w:val="nil"/>
              <w:bottom w:val="nil"/>
              <w:right w:val="nil"/>
            </w:tcBorders>
            <w:shd w:val="clear" w:color="auto" w:fill="FFFFFF"/>
            <w:tcMar>
              <w:top w:w="180" w:type="dxa"/>
              <w:left w:w="240" w:type="dxa"/>
              <w:bottom w:w="180" w:type="dxa"/>
              <w:right w:w="240" w:type="dxa"/>
            </w:tcMar>
            <w:vAlign w:val="center"/>
          </w:tcPr>
          <w:p w14:paraId="726D930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90天以上</w:t>
            </w:r>
          </w:p>
        </w:tc>
      </w:tr>
      <w:tr w14:paraId="37AD4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2447D1D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​非系统性风险​</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1B6890C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中小企业EAC认证通过率</w:t>
            </w:r>
          </w:p>
        </w:tc>
        <w:tc>
          <w:tcPr>
            <w:tcW w:w="2782" w:type="dxa"/>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DC163A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53%</w:t>
            </w:r>
          </w:p>
        </w:tc>
      </w:tr>
      <w:tr w14:paraId="5FC21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single" w:color="E0E0E0" w:sz="6" w:space="0"/>
              <w:left w:val="nil"/>
              <w:bottom w:val="nil"/>
              <w:right w:val="single" w:color="E0E0E0" w:sz="6" w:space="0"/>
            </w:tcBorders>
            <w:shd w:val="clear" w:color="auto" w:fill="FFFFFF"/>
            <w:tcMar>
              <w:top w:w="180" w:type="dxa"/>
              <w:left w:w="240" w:type="dxa"/>
              <w:bottom w:w="180" w:type="dxa"/>
              <w:right w:w="240" w:type="dxa"/>
            </w:tcMar>
            <w:vAlign w:val="center"/>
          </w:tcPr>
          <w:p w14:paraId="4299571B">
            <w:pPr>
              <w:jc w:val="center"/>
              <w:rPr>
                <w:rFonts w:hint="default" w:ascii="Segoe UI" w:hAnsi="Segoe UI" w:eastAsia="Segoe UI" w:cs="Segoe UI"/>
                <w:i w:val="0"/>
                <w:iCs w:val="0"/>
                <w:caps w:val="0"/>
                <w:spacing w:val="0"/>
                <w:sz w:val="21"/>
                <w:szCs w:val="21"/>
              </w:rPr>
            </w:pPr>
          </w:p>
        </w:tc>
        <w:tc>
          <w:tcPr>
            <w:tcW w:w="0" w:type="auto"/>
            <w:tcBorders>
              <w:top w:val="single" w:color="E0E0E0" w:sz="6" w:space="0"/>
              <w:left w:val="single" w:color="E0E0E0" w:sz="6" w:space="0"/>
              <w:bottom w:val="nil"/>
              <w:right w:val="single" w:color="E0E0E0" w:sz="6" w:space="0"/>
            </w:tcBorders>
            <w:shd w:val="clear" w:color="auto" w:fill="FFFFFF"/>
            <w:tcMar>
              <w:top w:w="180" w:type="dxa"/>
              <w:left w:w="240" w:type="dxa"/>
              <w:bottom w:w="180" w:type="dxa"/>
              <w:right w:w="240" w:type="dxa"/>
            </w:tcMar>
            <w:vAlign w:val="center"/>
          </w:tcPr>
          <w:p w14:paraId="064D310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lang w:val="en-US" w:eastAsia="zh-CN" w:bidi="ar"/>
              </w:rPr>
              <w:t>龙头企业EAC认证通过率</w:t>
            </w:r>
          </w:p>
        </w:tc>
        <w:tc>
          <w:tcPr>
            <w:tcW w:w="2782" w:type="dxa"/>
            <w:tcBorders>
              <w:top w:val="single" w:color="E0E0E0" w:sz="6" w:space="0"/>
              <w:left w:val="single" w:color="E0E0E0" w:sz="6" w:space="0"/>
              <w:bottom w:val="nil"/>
              <w:right w:val="single" w:color="E0E0E0" w:sz="6" w:space="0"/>
            </w:tcBorders>
            <w:shd w:val="clear" w:color="auto" w:fill="FFFFFF"/>
            <w:tcMar>
              <w:top w:w="180" w:type="dxa"/>
              <w:left w:w="240" w:type="dxa"/>
              <w:bottom w:w="180" w:type="dxa"/>
              <w:right w:w="240" w:type="dxa"/>
            </w:tcMar>
            <w:vAlign w:val="center"/>
          </w:tcPr>
          <w:p w14:paraId="669D790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lang w:val="en-US" w:eastAsia="zh-CN" w:bidi="ar"/>
              </w:rPr>
              <w:t>89%</w:t>
            </w:r>
          </w:p>
        </w:tc>
      </w:tr>
    </w:tbl>
    <w:p w14:paraId="15CBD0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i w:val="0"/>
          <w:color w:val="333333"/>
          <w:sz w:val="24"/>
          <w:szCs w:val="24"/>
        </w:rPr>
      </w:pPr>
    </w:p>
    <w:p w14:paraId="61B81080">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eastAsia="zh-CN"/>
        </w:rPr>
      </w:pPr>
      <w:bookmarkStart w:id="35" w:name="_Toc31866"/>
      <w:r>
        <w:rPr>
          <w:rFonts w:hint="eastAsia" w:ascii="Times New Roman" w:hAnsi="Times New Roman" w:cs="Times New Roman"/>
          <w:bCs/>
          <w:color w:val="000000"/>
          <w:kern w:val="2"/>
          <w:lang w:eastAsia="zh-CN"/>
        </w:rPr>
        <w:t>2.</w:t>
      </w:r>
      <w:r>
        <w:rPr>
          <w:rFonts w:hint="eastAsia" w:ascii="Times New Roman" w:hAnsi="Times New Roman" w:cs="Times New Roman"/>
          <w:bCs/>
          <w:color w:val="000000"/>
          <w:kern w:val="2"/>
          <w:lang w:val="en-US" w:eastAsia="zh-CN"/>
        </w:rPr>
        <w:t>3</w:t>
      </w:r>
      <w:r>
        <w:rPr>
          <w:rFonts w:hint="eastAsia" w:ascii="Times New Roman" w:hAnsi="Times New Roman" w:cs="Times New Roman"/>
          <w:bCs/>
          <w:color w:val="000000"/>
          <w:kern w:val="2"/>
          <w:lang w:eastAsia="zh-CN"/>
        </w:rPr>
        <w:t>.</w:t>
      </w:r>
      <w:r>
        <w:rPr>
          <w:rFonts w:hint="eastAsia" w:ascii="Times New Roman" w:hAnsi="Times New Roman" w:cs="Times New Roman"/>
          <w:bCs/>
          <w:color w:val="000000"/>
          <w:kern w:val="2"/>
          <w:lang w:val="en-US" w:eastAsia="zh-CN"/>
        </w:rPr>
        <w:t xml:space="preserve">3 </w:t>
      </w:r>
      <w:r>
        <w:rPr>
          <w:rFonts w:hint="eastAsia" w:ascii="Times New Roman" w:hAnsi="Times New Roman" w:cs="Times New Roman"/>
          <w:bCs/>
          <w:color w:val="000000"/>
          <w:kern w:val="2"/>
          <w:lang w:eastAsia="zh-CN"/>
        </w:rPr>
        <w:t xml:space="preserve"> 渐进式市场进入策略的实践应用</w:t>
      </w:r>
      <w:bookmarkEnd w:id="35"/>
    </w:p>
    <w:p w14:paraId="45AC8390">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渐进式市场进入策略通过“试探-渗透-扩张”三阶段降低风险。试探阶段以小额边境贸易为主，例如黑龙江东宁口岸企业通过“灰色清关”试销菌菇、坚果等品类，单笔交易额控制在50万美元以内，2023年该模式占对俄农产品出口的34%。渗透阶段侧重本土化合作，如山东寿光蔬菜集团与俄远东农业公司成立合资企业，中方提供种植技术（占股40%），俄方提供土地（占股60%），2023年合资农场产量占俄远东蔬菜市场的19%。扩张阶段通过直接投资与品牌深耕，例如新希望集团在俄建立全产业链猪肉生产基地，2023年产能达50万吨，并推出“SUNNIO PORK”自有品牌，在俄高端市场份额突破8%。</w:t>
      </w:r>
    </w:p>
    <w:p w14:paraId="0179882A">
      <w:pPr>
        <w:keepNext w:val="0"/>
        <w:keepLines w:val="0"/>
        <w:pageBreakBefore w:val="0"/>
        <w:widowControl w:val="0"/>
        <w:kinsoku/>
        <w:wordWrap/>
        <w:overflowPunct/>
        <w:topLinePunct w:val="0"/>
        <w:autoSpaceDE/>
        <w:autoSpaceDN/>
        <w:bidi w:val="0"/>
        <w:adjustRightInd/>
        <w:snapToGrid/>
        <w:spacing w:line="400" w:lineRule="atLeast"/>
        <w:ind w:firstLine="420" w:firstLineChars="200"/>
        <w:jc w:val="center"/>
        <w:textAlignment w:val="auto"/>
        <w:rPr>
          <w:rFonts w:hint="default" w:ascii="宋体" w:hAnsi="宋体" w:eastAsia="宋体" w:cs="宋体"/>
          <w:b w:val="0"/>
          <w:i w:val="0"/>
          <w:color w:val="333333"/>
          <w:sz w:val="21"/>
          <w:szCs w:val="21"/>
          <w:lang w:val="en-US" w:eastAsia="zh-CN"/>
        </w:rPr>
      </w:pPr>
      <w:r>
        <w:rPr>
          <w:rFonts w:hint="eastAsia" w:ascii="宋体" w:hAnsi="宋体" w:eastAsia="宋体" w:cs="宋体"/>
          <w:b w:val="0"/>
          <w:i w:val="0"/>
          <w:color w:val="333333"/>
          <w:sz w:val="21"/>
          <w:szCs w:val="21"/>
          <w:lang w:val="en-US" w:eastAsia="zh-CN"/>
        </w:rPr>
        <w:t>表7 渐进式市场进入策略实践案例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1989"/>
        <w:gridCol w:w="3632"/>
        <w:gridCol w:w="3363"/>
      </w:tblGrid>
      <w:tr w14:paraId="3A077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75CD88B1">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​阶段​</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47B3809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​策略/案例​</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39207A9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​关键数据​</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5CE8A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4AB74F3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​试探阶段​</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42C0444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小额边境贸易占比（2023年）</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D30B0C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34%</w:t>
            </w:r>
          </w:p>
        </w:tc>
      </w:tr>
      <w:tr w14:paraId="51336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B56362F">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C56E1B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东宁口岸单笔交易额上限</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FDB54A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50万美元</w:t>
            </w:r>
          </w:p>
        </w:tc>
      </w:tr>
      <w:tr w14:paraId="4EBA5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0A7C68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​渗透阶段​</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5D6820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寿光-俄远东合资农场市场份额（2023年）</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649834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19%</w:t>
            </w:r>
          </w:p>
        </w:tc>
      </w:tr>
      <w:tr w14:paraId="06F8B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7C66DC7">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6C9108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合资企业股权结构</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7B7425D">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中方技术占股40%，俄方土地占股60%</w:t>
            </w:r>
          </w:p>
        </w:tc>
      </w:tr>
      <w:tr w14:paraId="69A15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07A123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​扩张阶段​</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9EFC7F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新希望集团在俄猪肉产能（2023年）</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7F57E4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50万吨</w:t>
            </w:r>
          </w:p>
        </w:tc>
      </w:tr>
      <w:tr w14:paraId="672EE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5B5CCAA">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68CC39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自有品牌“SUNNIO PORK”高端市场份额</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41E04A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8%</w:t>
            </w:r>
          </w:p>
        </w:tc>
      </w:tr>
      <w:tr w14:paraId="1E23B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5252F3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​数字化工具​</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F1B5EA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阿里巴巴国际站对俄出口年均增长率</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838495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41%（2021-2023年）</w:t>
            </w:r>
          </w:p>
        </w:tc>
      </w:tr>
      <w:tr w14:paraId="08723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0E6C723F">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2277354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预制菜定制服务引入时间</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CE2C7D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2023年</w:t>
            </w:r>
          </w:p>
        </w:tc>
      </w:tr>
    </w:tbl>
    <w:p w14:paraId="710200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i w:val="0"/>
          <w:color w:val="333333"/>
          <w:sz w:val="24"/>
          <w:szCs w:val="24"/>
        </w:rPr>
      </w:pPr>
    </w:p>
    <w:p w14:paraId="3A57EEE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sectPr>
          <w:headerReference r:id="rId22" w:type="first"/>
          <w:headerReference r:id="rId20" w:type="default"/>
          <w:headerReference r:id="rId21" w:type="even"/>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default" w:ascii="宋体" w:hAnsi="宋体" w:eastAsia="宋体" w:cs="宋体"/>
          <w:b w:val="0"/>
          <w:i w:val="0"/>
          <w:color w:val="333333"/>
          <w:sz w:val="24"/>
          <w:szCs w:val="24"/>
          <w:lang w:val="en-US" w:eastAsia="zh-CN"/>
        </w:rPr>
        <w:t>数字化工具正重塑渐进策略的实施路径。阿里巴巴国际站通过大数据分析俄消费者偏好，指导企业分阶段推出适销品类：2021年试水苹果、梨等大宗水果，2022年扩展至蓝莓、车厘子等高附加值品类，2023年引入预制菜定制服务，三年间对俄农产品出口额年均增长41%。</w:t>
      </w:r>
    </w:p>
    <w:p w14:paraId="573602D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b w:val="0"/>
          <w:i w:val="0"/>
          <w:color w:val="333333"/>
          <w:sz w:val="24"/>
          <w:szCs w:val="24"/>
          <w:lang w:val="en-US" w:eastAsia="zh-CN"/>
        </w:rPr>
      </w:pPr>
    </w:p>
    <w:p w14:paraId="7A05FD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pPr>
    </w:p>
    <w:p w14:paraId="631AED1A">
      <w:pPr>
        <w:rPr>
          <w:rFonts w:hint="eastAsia"/>
        </w:rPr>
      </w:pPr>
    </w:p>
    <w:p w14:paraId="17796E4A">
      <w:pPr>
        <w:pStyle w:val="14"/>
        <w:keepNext w:val="0"/>
        <w:keepLines w:val="0"/>
        <w:pageBreakBefore w:val="0"/>
        <w:widowControl/>
        <w:suppressLineNumbers w:val="0"/>
        <w:kinsoku/>
        <w:wordWrap/>
        <w:overflowPunct/>
        <w:topLinePunct w:val="0"/>
        <w:autoSpaceDE/>
        <w:autoSpaceDN/>
        <w:bidi w:val="0"/>
        <w:adjustRightInd/>
        <w:snapToGrid/>
        <w:spacing w:before="120" w:beforeAutospacing="0" w:after="100" w:afterAutospacing="1" w:line="400" w:lineRule="exact"/>
        <w:ind w:right="0" w:rightChars="0"/>
        <w:jc w:val="center"/>
        <w:textAlignment w:val="auto"/>
        <w:outlineLvl w:val="0"/>
        <w:rPr>
          <w:rFonts w:hint="eastAsia" w:ascii="黑体" w:hAnsi="黑体" w:eastAsia="黑体" w:cs="黑体"/>
          <w:b w:val="0"/>
          <w:bCs/>
          <w:sz w:val="30"/>
          <w:szCs w:val="30"/>
        </w:rPr>
      </w:pPr>
      <w:bookmarkStart w:id="36" w:name="_Toc19398"/>
      <w:r>
        <w:rPr>
          <w:rFonts w:hint="eastAsia" w:ascii="黑体" w:hAnsi="黑体" w:eastAsia="黑体" w:cs="黑体"/>
          <w:b w:val="0"/>
          <w:bCs/>
          <w:sz w:val="30"/>
          <w:szCs w:val="30"/>
          <w:lang w:val="en-US" w:eastAsia="zh-CN"/>
        </w:rPr>
        <w:t>第3章</w:t>
      </w:r>
      <w:r>
        <w:rPr>
          <w:rFonts w:hint="eastAsia" w:ascii="黑体" w:hAnsi="黑体" w:eastAsia="黑体" w:cs="黑体"/>
          <w:b w:val="0"/>
          <w:bCs/>
          <w:sz w:val="30"/>
          <w:szCs w:val="30"/>
        </w:rPr>
        <w:t xml:space="preserve"> </w:t>
      </w:r>
      <w:r>
        <w:rPr>
          <w:rFonts w:hint="eastAsia" w:ascii="黑体" w:hAnsi="黑体" w:eastAsia="黑体" w:cs="黑体"/>
          <w:b w:val="0"/>
          <w:bCs/>
          <w:sz w:val="30"/>
          <w:szCs w:val="30"/>
          <w:lang w:val="en-US" w:eastAsia="zh-CN"/>
        </w:rPr>
        <w:t xml:space="preserve"> 中国对俄罗斯农产品出口</w:t>
      </w:r>
      <w:commentRangeStart w:id="1"/>
      <w:r>
        <w:rPr>
          <w:rFonts w:hint="eastAsia" w:ascii="黑体" w:hAnsi="黑体" w:eastAsia="黑体" w:cs="黑体"/>
          <w:b w:val="0"/>
          <w:bCs/>
          <w:sz w:val="30"/>
          <w:szCs w:val="30"/>
        </w:rPr>
        <w:t>的现状分析</w:t>
      </w:r>
      <w:commentRangeEnd w:id="1"/>
      <w:r>
        <w:commentReference w:id="1"/>
      </w:r>
      <w:bookmarkEnd w:id="24"/>
      <w:bookmarkEnd w:id="36"/>
    </w:p>
    <w:p w14:paraId="51A889EA">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sz w:val="28"/>
          <w:szCs w:val="28"/>
        </w:rPr>
      </w:pPr>
      <w:bookmarkStart w:id="37" w:name="_Toc11416"/>
      <w:bookmarkStart w:id="38" w:name="_Toc1938"/>
      <w:bookmarkStart w:id="39" w:name="_Toc30394"/>
      <w:r>
        <w:rPr>
          <w:rFonts w:hint="eastAsia" w:ascii="黑体" w:hAnsi="黑体" w:eastAsia="黑体" w:cs="黑体"/>
          <w:b w:val="0"/>
          <w:bCs/>
          <w:sz w:val="28"/>
          <w:szCs w:val="28"/>
          <w:lang w:val="en-US" w:eastAsia="zh-CN"/>
        </w:rPr>
        <w:t>3</w:t>
      </w:r>
      <w:r>
        <w:rPr>
          <w:rFonts w:hint="eastAsia" w:ascii="黑体" w:hAnsi="黑体" w:eastAsia="黑体" w:cs="黑体"/>
          <w:b w:val="0"/>
          <w:bCs/>
          <w:sz w:val="28"/>
          <w:szCs w:val="28"/>
        </w:rPr>
        <w:t>.1</w:t>
      </w:r>
      <w:r>
        <w:rPr>
          <w:rFonts w:hint="eastAsia" w:ascii="黑体" w:hAnsi="黑体" w:eastAsia="黑体" w:cs="黑体"/>
          <w:b w:val="0"/>
          <w:bCs/>
          <w:sz w:val="28"/>
          <w:szCs w:val="28"/>
          <w:lang w:val="en-US" w:eastAsia="zh-CN"/>
        </w:rPr>
        <w:t xml:space="preserve"> </w:t>
      </w:r>
      <w:r>
        <w:rPr>
          <w:rFonts w:hint="eastAsia" w:ascii="黑体" w:hAnsi="黑体" w:eastAsia="黑体" w:cs="黑体"/>
          <w:b w:val="0"/>
          <w:bCs/>
          <w:sz w:val="28"/>
          <w:szCs w:val="28"/>
        </w:rPr>
        <w:t xml:space="preserve"> </w:t>
      </w:r>
      <w:bookmarkEnd w:id="37"/>
      <w:bookmarkEnd w:id="38"/>
      <w:r>
        <w:rPr>
          <w:rFonts w:hint="eastAsia" w:ascii="黑体" w:hAnsi="黑体" w:eastAsia="黑体" w:cs="黑体"/>
          <w:b w:val="0"/>
          <w:bCs/>
          <w:sz w:val="28"/>
          <w:szCs w:val="28"/>
        </w:rPr>
        <w:t>中国对俄农产品出口的总体规模与结构</w:t>
      </w:r>
      <w:bookmarkEnd w:id="39"/>
    </w:p>
    <w:p w14:paraId="01CC9FF9">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eastAsia="zh-CN"/>
        </w:rPr>
      </w:pPr>
      <w:bookmarkStart w:id="40" w:name="_Toc27518"/>
      <w:bookmarkStart w:id="41" w:name="_Toc20917"/>
      <w:bookmarkStart w:id="42" w:name="_Toc6918"/>
      <w:r>
        <w:rPr>
          <w:rFonts w:hint="eastAsia" w:ascii="Times New Roman" w:hAnsi="Times New Roman" w:cs="Times New Roman"/>
          <w:bCs/>
          <w:color w:val="000000"/>
          <w:kern w:val="2"/>
          <w:lang w:val="en-US" w:eastAsia="zh-CN"/>
        </w:rPr>
        <w:t>3</w:t>
      </w:r>
      <w:r>
        <w:rPr>
          <w:rFonts w:hint="eastAsia" w:ascii="Times New Roman" w:hAnsi="Times New Roman" w:cs="Times New Roman"/>
          <w:bCs/>
          <w:color w:val="000000"/>
          <w:kern w:val="2"/>
          <w:lang w:eastAsia="zh-CN"/>
        </w:rPr>
        <w:t>.1.1</w:t>
      </w:r>
      <w:r>
        <w:rPr>
          <w:rFonts w:hint="eastAsia" w:ascii="Times New Roman" w:hAnsi="Times New Roman" w:cs="Times New Roman"/>
          <w:bCs/>
          <w:color w:val="000000"/>
          <w:kern w:val="2"/>
          <w:lang w:val="en-US" w:eastAsia="zh-CN"/>
        </w:rPr>
        <w:t xml:space="preserve"> </w:t>
      </w:r>
      <w:r>
        <w:rPr>
          <w:rFonts w:hint="eastAsia" w:ascii="Times New Roman" w:hAnsi="Times New Roman" w:cs="Times New Roman"/>
          <w:bCs/>
          <w:color w:val="000000"/>
          <w:kern w:val="2"/>
          <w:lang w:eastAsia="zh-CN"/>
        </w:rPr>
        <w:t xml:space="preserve"> </w:t>
      </w:r>
      <w:bookmarkEnd w:id="40"/>
      <w:bookmarkEnd w:id="41"/>
      <w:r>
        <w:rPr>
          <w:rFonts w:hint="eastAsia" w:ascii="Times New Roman" w:hAnsi="Times New Roman" w:cs="Times New Roman"/>
          <w:bCs/>
          <w:color w:val="000000"/>
          <w:kern w:val="2"/>
          <w:lang w:eastAsia="zh-CN"/>
        </w:rPr>
        <w:t>出口规模与增长趋势</w:t>
      </w:r>
      <w:bookmarkEnd w:id="42"/>
    </w:p>
    <w:p w14:paraId="177D8E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2018-2023年，中国对俄农产品出口额从42亿美元增至80亿美元，年均增长率达13.8%，显著高于同期中国农产品出口总额增速（7.2%）。2022年俄乌冲突成为关键转折点，当年出口额同比增长24.5%，主要受俄罗斯进口替代政策驱动。但2023年增速回落至9.6%，反映物流瓶颈与认证壁垒的制约效应（中国海关总署，2024）。</w:t>
      </w:r>
    </w:p>
    <w:p w14:paraId="5A159B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p>
    <w:p w14:paraId="51F241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p>
    <w:p w14:paraId="6E079C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p>
    <w:p w14:paraId="713A5F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p>
    <w:p w14:paraId="5D31A1A2">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center"/>
        <w:textAlignment w:val="auto"/>
        <w:rPr>
          <w:rFonts w:hint="eastAsia" w:ascii="宋体" w:hAnsi="宋体" w:eastAsia="宋体" w:cs="宋体"/>
          <w:b w:val="0"/>
          <w:i w:val="0"/>
          <w:color w:val="333333"/>
          <w:sz w:val="21"/>
          <w:szCs w:val="21"/>
          <w:lang w:val="en-US" w:eastAsia="zh-CN"/>
        </w:rPr>
      </w:pPr>
    </w:p>
    <w:p w14:paraId="187A3E66">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center"/>
        <w:textAlignment w:val="auto"/>
        <w:rPr>
          <w:rFonts w:hint="eastAsia" w:ascii="宋体" w:hAnsi="宋体" w:eastAsia="宋体" w:cs="宋体"/>
          <w:b w:val="0"/>
          <w:i w:val="0"/>
          <w:color w:val="333333"/>
          <w:sz w:val="21"/>
          <w:szCs w:val="21"/>
          <w:lang w:val="en-US" w:eastAsia="zh-CN"/>
        </w:rPr>
      </w:pPr>
    </w:p>
    <w:p w14:paraId="46E9A2BA">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center"/>
        <w:textAlignment w:val="auto"/>
        <w:rPr>
          <w:rFonts w:hint="eastAsia" w:ascii="宋体" w:hAnsi="宋体" w:eastAsia="宋体" w:cs="宋体"/>
          <w:b w:val="0"/>
          <w:i w:val="0"/>
          <w:color w:val="333333"/>
          <w:sz w:val="21"/>
          <w:szCs w:val="21"/>
          <w:lang w:val="en-US" w:eastAsia="zh-CN"/>
        </w:rPr>
      </w:pPr>
    </w:p>
    <w:p w14:paraId="103D66D4">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center"/>
        <w:textAlignment w:val="auto"/>
        <w:rPr>
          <w:rFonts w:hint="eastAsia" w:ascii="宋体" w:hAnsi="宋体" w:eastAsia="宋体" w:cs="宋体"/>
          <w:b w:val="0"/>
          <w:i w:val="0"/>
          <w:color w:val="333333"/>
          <w:sz w:val="21"/>
          <w:szCs w:val="21"/>
          <w:lang w:val="en-US" w:eastAsia="zh-CN"/>
        </w:rPr>
      </w:pPr>
    </w:p>
    <w:p w14:paraId="308588DF">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center"/>
        <w:textAlignment w:val="auto"/>
        <w:rPr>
          <w:rFonts w:hint="default" w:ascii="宋体" w:hAnsi="宋体" w:eastAsia="宋体" w:cs="宋体"/>
          <w:b w:val="0"/>
          <w:i w:val="0"/>
          <w:color w:val="333333"/>
          <w:sz w:val="24"/>
          <w:szCs w:val="24"/>
          <w:lang w:val="en-US" w:eastAsia="zh-CN"/>
        </w:rPr>
      </w:pPr>
      <w:r>
        <w:rPr>
          <w:rFonts w:hint="eastAsia" w:ascii="宋体" w:hAnsi="宋体" w:eastAsia="宋体" w:cs="宋体"/>
          <w:b w:val="0"/>
          <w:i w:val="0"/>
          <w:color w:val="333333"/>
          <w:sz w:val="21"/>
          <w:szCs w:val="21"/>
          <w:lang w:val="en-US" w:eastAsia="zh-CN"/>
        </w:rPr>
        <w:t>表8 中国对俄农产品出口规模与增长</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1947"/>
        <w:gridCol w:w="1695"/>
        <w:gridCol w:w="1485"/>
        <w:gridCol w:w="1387"/>
        <w:gridCol w:w="2470"/>
      </w:tblGrid>
      <w:tr w14:paraId="01C48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485C29A0">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​指标​</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39A0249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​2018年​</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43DF5E5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2023年​</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1A813FB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年均增速​</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0FF7080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​关键事件影响​</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0D2E1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3D63F17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出口总额（亿美元）</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3360925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42</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619720A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80</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6202266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13.8%</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3BA78DF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2022年俄乌冲突推动当年增长24.5%</w:t>
            </w:r>
          </w:p>
        </w:tc>
      </w:tr>
      <w:tr w14:paraId="549F3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32D267C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深加工食品贡献新增量占比</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3A05F1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8605E3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58%</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FDDBF0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565CDB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2021-2023年增量主力</w:t>
            </w:r>
          </w:p>
        </w:tc>
      </w:tr>
      <w:tr w14:paraId="38B4A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05B327C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传统大宗农产品增速</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49A80D5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0328065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7D2377A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8.1%</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5C85614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2018-2020年主导阶段</w:t>
            </w:r>
          </w:p>
        </w:tc>
      </w:tr>
    </w:tbl>
    <w:p w14:paraId="7A93C2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分阶段看：</w:t>
      </w:r>
    </w:p>
    <w:p w14:paraId="1CA3FD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​​2018-2020年：出口额从42亿增至53亿美元，年均增长8.1%，主要依赖传统大宗农产品（如玉米、大豆）；</w:t>
      </w:r>
    </w:p>
    <w:p w14:paraId="41AC5FF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​​2021-2023年：出口额从53亿跃升至80亿美元，年均增速提升至14.7%，深加工食品（如速冻水饺、罐头）贡献新增量的58%（农业农村部，2023）。</w:t>
      </w:r>
    </w:p>
    <w:p w14:paraId="7EA48D0F">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val="en-US" w:eastAsia="zh-CN"/>
        </w:rPr>
      </w:pPr>
      <w:bookmarkStart w:id="43" w:name="_Toc6247"/>
      <w:bookmarkStart w:id="44" w:name="_Toc12917"/>
      <w:bookmarkStart w:id="45" w:name="_Toc12187"/>
      <w:r>
        <w:rPr>
          <w:rFonts w:hint="eastAsia" w:ascii="Times New Roman" w:hAnsi="Times New Roman" w:cs="Times New Roman"/>
          <w:bCs/>
          <w:color w:val="000000"/>
          <w:kern w:val="2"/>
          <w:lang w:val="en-US" w:eastAsia="zh-CN"/>
        </w:rPr>
        <w:t xml:space="preserve">3.1.2  </w:t>
      </w:r>
      <w:bookmarkEnd w:id="43"/>
      <w:bookmarkEnd w:id="44"/>
      <w:r>
        <w:rPr>
          <w:rFonts w:hint="eastAsia" w:ascii="Times New Roman" w:hAnsi="Times New Roman" w:cs="Times New Roman"/>
          <w:bCs/>
          <w:color w:val="000000"/>
          <w:kern w:val="2"/>
          <w:lang w:val="en-US" w:eastAsia="zh-CN"/>
        </w:rPr>
        <w:t>贸易结构特征分析</w:t>
      </w:r>
      <w:bookmarkEnd w:id="45"/>
    </w:p>
    <w:p w14:paraId="1585391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中</w:t>
      </w:r>
      <w:r>
        <w:rPr>
          <w:rFonts w:hint="default" w:ascii="宋体" w:hAnsi="宋体" w:eastAsia="宋体" w:cs="宋体"/>
          <w:b w:val="0"/>
          <w:i w:val="0"/>
          <w:color w:val="333333"/>
          <w:sz w:val="24"/>
          <w:szCs w:val="24"/>
          <w:lang w:val="en-US" w:eastAsia="zh-CN"/>
        </w:rPr>
        <w:t>中国对俄农产品出口呈现“双轨分化”特征：</w:t>
      </w:r>
    </w:p>
    <w:p w14:paraId="66FAA2F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在</w:t>
      </w:r>
      <w:r>
        <w:rPr>
          <w:rFonts w:hint="default" w:ascii="宋体" w:hAnsi="宋体" w:eastAsia="宋体" w:cs="宋体"/>
          <w:b w:val="0"/>
          <w:i w:val="0"/>
          <w:color w:val="333333"/>
          <w:sz w:val="24"/>
          <w:szCs w:val="24"/>
          <w:lang w:val="en-US" w:eastAsia="zh-CN"/>
        </w:rPr>
        <w:t>品类结构</w:t>
      </w:r>
      <w:r>
        <w:rPr>
          <w:rFonts w:hint="eastAsia" w:ascii="宋体" w:hAnsi="宋体" w:eastAsia="宋体" w:cs="宋体"/>
          <w:b w:val="0"/>
          <w:i w:val="0"/>
          <w:color w:val="333333"/>
          <w:sz w:val="24"/>
          <w:szCs w:val="24"/>
          <w:lang w:val="en-US" w:eastAsia="zh-CN"/>
        </w:rPr>
        <w:t>方面，</w:t>
      </w:r>
      <w:r>
        <w:rPr>
          <w:rFonts w:hint="default" w:ascii="宋体" w:hAnsi="宋体" w:eastAsia="宋体" w:cs="宋体"/>
          <w:b w:val="0"/>
          <w:i w:val="0"/>
          <w:color w:val="333333"/>
          <w:sz w:val="24"/>
          <w:szCs w:val="24"/>
          <w:lang w:val="en-US" w:eastAsia="zh-CN"/>
        </w:rPr>
        <w:t>劳动密集型农产品占主导，2023年蔬菜、水果出口占比达64%（其中番茄、洋葱占蔬菜出口的55%），但深加工食品占比提升至18%（如肉类罐头、菌菇干制品）。高附加值品类增速显著，2023年速冻食品出口额同比增长37%，单价较初级产品高3.5倍（中国海关总署，2024）。</w:t>
      </w:r>
    </w:p>
    <w:p w14:paraId="23D812D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i w:val="0"/>
          <w:color w:val="333333"/>
          <w:sz w:val="21"/>
          <w:szCs w:val="21"/>
          <w:lang w:val="en-US" w:eastAsia="zh-CN"/>
        </w:rPr>
      </w:pPr>
      <w:r>
        <w:rPr>
          <w:rFonts w:hint="eastAsia" w:ascii="宋体" w:hAnsi="宋体" w:eastAsia="宋体" w:cs="宋体"/>
          <w:b w:val="0"/>
          <w:i w:val="0"/>
          <w:color w:val="333333"/>
          <w:sz w:val="21"/>
          <w:szCs w:val="21"/>
          <w:lang w:val="en-US" w:eastAsia="zh-CN"/>
        </w:rPr>
        <w:t xml:space="preserve">表9 </w:t>
      </w:r>
      <w:r>
        <w:rPr>
          <w:rFonts w:hint="default" w:ascii="宋体" w:hAnsi="宋体" w:eastAsia="宋体" w:cs="宋体"/>
          <w:b w:val="0"/>
          <w:i w:val="0"/>
          <w:color w:val="333333"/>
          <w:sz w:val="21"/>
          <w:szCs w:val="21"/>
          <w:lang w:val="en-US" w:eastAsia="zh-CN"/>
        </w:rPr>
        <w:t>2024年中国对俄农产品出口品类占比</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2370"/>
        <w:gridCol w:w="2460"/>
        <w:gridCol w:w="3880"/>
      </w:tblGrid>
      <w:tr w14:paraId="79816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7CED45AA">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​品类​</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03AA54D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​2024年占比​</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3880"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0116707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​同比变化​</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1A44F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2CE9AE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蔬菜、水果</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42841F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62%</w:t>
            </w:r>
          </w:p>
        </w:tc>
        <w:tc>
          <w:tcPr>
            <w:tcW w:w="3880" w:type="dxa"/>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7E642B9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w:t>
            </w:r>
          </w:p>
        </w:tc>
      </w:tr>
      <w:tr w14:paraId="303AD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DA598A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深加工食品</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C9FCEF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22%</w:t>
            </w:r>
          </w:p>
        </w:tc>
        <w:tc>
          <w:tcPr>
            <w:tcW w:w="3880" w:type="dxa"/>
            <w:tcBorders>
              <w:top w:val="nil"/>
              <w:left w:val="nil"/>
              <w:bottom w:val="nil"/>
              <w:right w:val="nil"/>
            </w:tcBorders>
            <w:shd w:val="clear" w:color="auto" w:fill="FFFFFF"/>
            <w:tcMar>
              <w:top w:w="180" w:type="dxa"/>
              <w:left w:w="240" w:type="dxa"/>
              <w:bottom w:w="180" w:type="dxa"/>
              <w:right w:w="240" w:type="dxa"/>
            </w:tcMar>
            <w:vAlign w:val="center"/>
          </w:tcPr>
          <w:p w14:paraId="239E812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w:t>
            </w:r>
          </w:p>
        </w:tc>
      </w:tr>
      <w:tr w14:paraId="179AD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317A4E0D">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大宗谷物</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107537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12%</w:t>
            </w:r>
          </w:p>
        </w:tc>
        <w:tc>
          <w:tcPr>
            <w:tcW w:w="3880" w:type="dxa"/>
            <w:tcBorders>
              <w:top w:val="nil"/>
              <w:left w:val="nil"/>
              <w:bottom w:val="nil"/>
              <w:right w:val="nil"/>
            </w:tcBorders>
            <w:shd w:val="clear" w:color="auto" w:fill="FFFFFF"/>
            <w:tcMar>
              <w:top w:w="180" w:type="dxa"/>
              <w:left w:w="240" w:type="dxa"/>
              <w:bottom w:w="180" w:type="dxa"/>
              <w:right w:w="240" w:type="dxa"/>
            </w:tcMar>
            <w:vAlign w:val="center"/>
          </w:tcPr>
          <w:p w14:paraId="7BAE5FD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-3%</w:t>
            </w:r>
          </w:p>
        </w:tc>
      </w:tr>
      <w:tr w14:paraId="547CF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5C04100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其他（菌菇、坚果）</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00B60AF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w:t>
            </w:r>
          </w:p>
        </w:tc>
        <w:tc>
          <w:tcPr>
            <w:tcW w:w="3880" w:type="dxa"/>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CC86A0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w:t>
            </w:r>
          </w:p>
        </w:tc>
      </w:tr>
    </w:tbl>
    <w:p w14:paraId="78C0E8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p>
    <w:p w14:paraId="42ADF3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从</w:t>
      </w:r>
      <w:r>
        <w:rPr>
          <w:rFonts w:hint="default" w:ascii="宋体" w:hAnsi="宋体" w:eastAsia="宋体" w:cs="宋体"/>
          <w:b w:val="0"/>
          <w:i w:val="0"/>
          <w:color w:val="333333"/>
          <w:sz w:val="24"/>
          <w:szCs w:val="24"/>
          <w:lang w:val="en-US" w:eastAsia="zh-CN"/>
        </w:rPr>
        <w:t>区域分布</w:t>
      </w:r>
      <w:r>
        <w:rPr>
          <w:rFonts w:hint="eastAsia" w:ascii="宋体" w:hAnsi="宋体" w:eastAsia="宋体" w:cs="宋体"/>
          <w:b w:val="0"/>
          <w:i w:val="0"/>
          <w:color w:val="333333"/>
          <w:sz w:val="24"/>
          <w:szCs w:val="24"/>
          <w:lang w:val="en-US" w:eastAsia="zh-CN"/>
        </w:rPr>
        <w:t>来看，</w:t>
      </w:r>
      <w:r>
        <w:rPr>
          <w:rFonts w:hint="default" w:ascii="宋体" w:hAnsi="宋体" w:eastAsia="宋体" w:cs="宋体"/>
          <w:b w:val="0"/>
          <w:i w:val="0"/>
          <w:color w:val="333333"/>
          <w:sz w:val="24"/>
          <w:szCs w:val="24"/>
          <w:lang w:val="en-US" w:eastAsia="zh-CN"/>
        </w:rPr>
        <w:t>出口高度集中于东北边境省份，2023年黑龙江、吉林两省占对俄农产品出口总额的72%，其中绥芬河、东宁口岸承担58%的跨境物流量。但内陆省份参与度较低，河南、山东等农业大省对俄出口占比不足5%（冯笑，2025）。</w:t>
      </w:r>
    </w:p>
    <w:p w14:paraId="188FD32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b w:val="0"/>
          <w:i w:val="0"/>
          <w:color w:val="333333"/>
          <w:sz w:val="24"/>
          <w:szCs w:val="24"/>
          <w:lang w:val="en-US" w:eastAsia="zh-CN"/>
        </w:rPr>
      </w:pPr>
      <w:r>
        <w:rPr>
          <w:rFonts w:hint="eastAsia" w:ascii="宋体" w:hAnsi="宋体" w:eastAsia="宋体" w:cs="宋体"/>
          <w:b w:val="0"/>
          <w:i w:val="0"/>
          <w:color w:val="333333"/>
          <w:sz w:val="24"/>
          <w:szCs w:val="24"/>
          <w:lang w:val="en-US" w:eastAsia="zh-CN"/>
        </w:rPr>
        <w:t xml:space="preserve">表10 </w:t>
      </w:r>
      <w:r>
        <w:rPr>
          <w:rFonts w:hint="default" w:ascii="宋体" w:hAnsi="宋体" w:eastAsia="宋体" w:cs="宋体"/>
          <w:b w:val="0"/>
          <w:i w:val="0"/>
          <w:color w:val="333333"/>
          <w:sz w:val="24"/>
          <w:szCs w:val="24"/>
          <w:lang w:val="en-US" w:eastAsia="zh-CN"/>
        </w:rPr>
        <w:t>24年中国对俄农产品出口区域占比</w:t>
      </w:r>
    </w:p>
    <w:p w14:paraId="3E0392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1740"/>
        <w:gridCol w:w="2460"/>
        <w:gridCol w:w="4486"/>
      </w:tblGrid>
      <w:tr w14:paraId="34A01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771712E8">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​区域​</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746868F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​2024年占比​</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4486"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7C8D8F1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​同比变化​</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1C520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1697C75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东北三省</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75A6C20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71%</w:t>
            </w:r>
          </w:p>
        </w:tc>
        <w:tc>
          <w:tcPr>
            <w:tcW w:w="4486" w:type="dxa"/>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126EE25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w:t>
            </w:r>
          </w:p>
        </w:tc>
      </w:tr>
      <w:tr w14:paraId="2D0DE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7D7DFF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华东地区</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FF3EFA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15%</w:t>
            </w:r>
          </w:p>
        </w:tc>
        <w:tc>
          <w:tcPr>
            <w:tcW w:w="4486" w:type="dxa"/>
            <w:tcBorders>
              <w:top w:val="nil"/>
              <w:left w:val="nil"/>
              <w:bottom w:val="nil"/>
              <w:right w:val="nil"/>
            </w:tcBorders>
            <w:shd w:val="clear" w:color="auto" w:fill="FFFFFF"/>
            <w:tcMar>
              <w:top w:w="180" w:type="dxa"/>
              <w:left w:w="240" w:type="dxa"/>
              <w:bottom w:w="180" w:type="dxa"/>
              <w:right w:w="240" w:type="dxa"/>
            </w:tcMar>
            <w:vAlign w:val="center"/>
          </w:tcPr>
          <w:p w14:paraId="475EC74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+3%</w:t>
            </w:r>
          </w:p>
        </w:tc>
      </w:tr>
      <w:tr w14:paraId="1F96C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9C92E9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西南地区</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BEFC2D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8%</w:t>
            </w:r>
          </w:p>
        </w:tc>
        <w:tc>
          <w:tcPr>
            <w:tcW w:w="4486" w:type="dxa"/>
            <w:tcBorders>
              <w:top w:val="nil"/>
              <w:left w:val="nil"/>
              <w:bottom w:val="nil"/>
              <w:right w:val="nil"/>
            </w:tcBorders>
            <w:shd w:val="clear" w:color="auto" w:fill="FFFFFF"/>
            <w:tcMar>
              <w:top w:w="180" w:type="dxa"/>
              <w:left w:w="240" w:type="dxa"/>
              <w:bottom w:w="180" w:type="dxa"/>
              <w:right w:w="240" w:type="dxa"/>
            </w:tcMar>
            <w:vAlign w:val="center"/>
          </w:tcPr>
          <w:p w14:paraId="2A28D2D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w:t>
            </w:r>
          </w:p>
        </w:tc>
      </w:tr>
      <w:tr w14:paraId="6EB45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4680F87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其他地区</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473A3B3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6%</w:t>
            </w:r>
          </w:p>
        </w:tc>
        <w:tc>
          <w:tcPr>
            <w:tcW w:w="4486" w:type="dxa"/>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7B7890ED">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-4%</w:t>
            </w:r>
          </w:p>
        </w:tc>
      </w:tr>
    </w:tbl>
    <w:p w14:paraId="0DBBCF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i w:val="0"/>
          <w:color w:val="333333"/>
          <w:sz w:val="24"/>
          <w:szCs w:val="24"/>
        </w:rPr>
      </w:pPr>
    </w:p>
    <w:p w14:paraId="476CBF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w:t>
      </w:r>
      <w:r>
        <w:rPr>
          <w:rFonts w:hint="eastAsia" w:ascii="宋体" w:hAnsi="宋体" w:eastAsia="宋体" w:cs="宋体"/>
          <w:b w:val="0"/>
          <w:i w:val="0"/>
          <w:color w:val="333333"/>
          <w:sz w:val="24"/>
          <w:szCs w:val="24"/>
          <w:lang w:val="en-US" w:eastAsia="zh-CN"/>
        </w:rPr>
        <w:t>从</w:t>
      </w:r>
      <w:r>
        <w:rPr>
          <w:rFonts w:hint="default" w:ascii="宋体" w:hAnsi="宋体" w:eastAsia="宋体" w:cs="宋体"/>
          <w:b w:val="0"/>
          <w:i w:val="0"/>
          <w:color w:val="333333"/>
          <w:sz w:val="24"/>
          <w:szCs w:val="24"/>
          <w:lang w:val="en-US" w:eastAsia="zh-CN"/>
        </w:rPr>
        <w:t>渠道特征</w:t>
      </w:r>
      <w:r>
        <w:rPr>
          <w:rFonts w:hint="eastAsia" w:ascii="宋体" w:hAnsi="宋体" w:eastAsia="宋体" w:cs="宋体"/>
          <w:b w:val="0"/>
          <w:i w:val="0"/>
          <w:color w:val="333333"/>
          <w:sz w:val="24"/>
          <w:szCs w:val="24"/>
          <w:lang w:val="en-US" w:eastAsia="zh-CN"/>
        </w:rPr>
        <w:t>来说。</w:t>
      </w:r>
      <w:r>
        <w:rPr>
          <w:rFonts w:hint="default" w:ascii="宋体" w:hAnsi="宋体" w:eastAsia="宋体" w:cs="宋体"/>
          <w:b w:val="0"/>
          <w:i w:val="0"/>
          <w:color w:val="333333"/>
          <w:sz w:val="24"/>
          <w:szCs w:val="24"/>
          <w:lang w:val="en-US" w:eastAsia="zh-CN"/>
        </w:rPr>
        <w:t>传统贸易渠道（边境小额贸易、一般贸易）占比从2018年的89%降至2023年的67%，而跨境电商与海外仓直供模式占比升至23%，推动生鲜农产品损耗率从15%降至6%（中国商务部，2024）。</w:t>
      </w:r>
    </w:p>
    <w:p w14:paraId="0C8506A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p>
    <w:p w14:paraId="1E4ED08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p>
    <w:p w14:paraId="5FFDF46F">
      <w:pPr>
        <w:bidi w:val="0"/>
        <w:rPr>
          <w:rFonts w:hint="default"/>
          <w:lang w:val="en-US" w:eastAsia="zh-CN"/>
        </w:rPr>
      </w:pPr>
      <w:r>
        <w:rPr>
          <w:rFonts w:hint="default"/>
          <w:lang w:val="en-US" w:eastAsia="zh-CN"/>
        </w:rPr>
        <w:t>表</w:t>
      </w:r>
      <w:r>
        <w:rPr>
          <w:rFonts w:hint="eastAsia"/>
          <w:lang w:val="en-US" w:eastAsia="zh-CN"/>
        </w:rPr>
        <w:t>11</w:t>
      </w:r>
      <w:r>
        <w:rPr>
          <w:rFonts w:hint="default"/>
          <w:lang w:val="en-US" w:eastAsia="zh-CN"/>
        </w:rPr>
        <w:t xml:space="preserve"> 2024年中国对俄农产品出口渠道占比</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1740"/>
        <w:gridCol w:w="2460"/>
        <w:gridCol w:w="4542"/>
      </w:tblGrid>
      <w:tr w14:paraId="25487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02AD8018">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​渠道​</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1747FBB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​2024年占比​</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4542"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208D1DD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​同比变化​</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66FF3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37046F4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传统边境贸易</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4326D97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52%</w:t>
            </w:r>
          </w:p>
        </w:tc>
        <w:tc>
          <w:tcPr>
            <w:tcW w:w="4542" w:type="dxa"/>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180BB9F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-15%</w:t>
            </w:r>
          </w:p>
        </w:tc>
      </w:tr>
      <w:tr w14:paraId="0734E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36E8097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跨境电商</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5FF7A0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25%</w:t>
            </w:r>
          </w:p>
        </w:tc>
        <w:tc>
          <w:tcPr>
            <w:tcW w:w="4542" w:type="dxa"/>
            <w:tcBorders>
              <w:top w:val="nil"/>
              <w:left w:val="nil"/>
              <w:bottom w:val="nil"/>
              <w:right w:val="nil"/>
            </w:tcBorders>
            <w:shd w:val="clear" w:color="auto" w:fill="FFFFFF"/>
            <w:tcMar>
              <w:top w:w="180" w:type="dxa"/>
              <w:left w:w="240" w:type="dxa"/>
              <w:bottom w:w="180" w:type="dxa"/>
              <w:right w:w="240" w:type="dxa"/>
            </w:tcMar>
            <w:vAlign w:val="center"/>
          </w:tcPr>
          <w:p w14:paraId="6E6D3F4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+7%</w:t>
            </w:r>
          </w:p>
        </w:tc>
      </w:tr>
      <w:tr w14:paraId="69ED5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C147F0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海外仓直供</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3A7B20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18%</w:t>
            </w:r>
          </w:p>
        </w:tc>
        <w:tc>
          <w:tcPr>
            <w:tcW w:w="4542" w:type="dxa"/>
            <w:tcBorders>
              <w:top w:val="nil"/>
              <w:left w:val="nil"/>
              <w:bottom w:val="nil"/>
              <w:right w:val="nil"/>
            </w:tcBorders>
            <w:shd w:val="clear" w:color="auto" w:fill="FFFFFF"/>
            <w:tcMar>
              <w:top w:w="180" w:type="dxa"/>
              <w:left w:w="240" w:type="dxa"/>
              <w:bottom w:w="180" w:type="dxa"/>
              <w:right w:w="240" w:type="dxa"/>
            </w:tcMar>
            <w:vAlign w:val="center"/>
          </w:tcPr>
          <w:p w14:paraId="53B05E4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+10%</w:t>
            </w:r>
          </w:p>
        </w:tc>
      </w:tr>
      <w:tr w14:paraId="61F23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765264A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政府协议采购</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67C4905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5%</w:t>
            </w:r>
          </w:p>
        </w:tc>
        <w:tc>
          <w:tcPr>
            <w:tcW w:w="4542" w:type="dxa"/>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55D76A8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-2%</w:t>
            </w:r>
          </w:p>
        </w:tc>
      </w:tr>
    </w:tbl>
    <w:p w14:paraId="1995DC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i w:val="0"/>
          <w:color w:val="333333"/>
          <w:sz w:val="24"/>
          <w:szCs w:val="24"/>
          <w:lang w:val="en-US" w:eastAsia="zh-CN"/>
        </w:rPr>
      </w:pPr>
    </w:p>
    <w:p w14:paraId="7F5BD7B7">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sz w:val="28"/>
          <w:szCs w:val="28"/>
          <w:lang w:val="en-US" w:eastAsia="zh-CN"/>
        </w:rPr>
      </w:pPr>
      <w:bookmarkStart w:id="46" w:name="_Toc20003"/>
      <w:bookmarkStart w:id="47" w:name="_Toc10260"/>
      <w:bookmarkStart w:id="48" w:name="_Toc23199"/>
      <w:r>
        <w:rPr>
          <w:rFonts w:hint="eastAsia" w:ascii="黑体" w:hAnsi="黑体" w:eastAsia="黑体" w:cs="黑体"/>
          <w:b w:val="0"/>
          <w:bCs/>
          <w:sz w:val="28"/>
          <w:szCs w:val="28"/>
          <w:lang w:val="en-US" w:eastAsia="zh-CN"/>
        </w:rPr>
        <w:t xml:space="preserve">3.2  </w:t>
      </w:r>
      <w:bookmarkEnd w:id="46"/>
      <w:bookmarkEnd w:id="47"/>
      <w:r>
        <w:rPr>
          <w:rFonts w:hint="eastAsia" w:ascii="黑体" w:hAnsi="黑体" w:eastAsia="黑体" w:cs="黑体"/>
          <w:b w:val="0"/>
          <w:bCs/>
          <w:sz w:val="28"/>
          <w:szCs w:val="28"/>
          <w:lang w:val="en-US" w:eastAsia="zh-CN"/>
        </w:rPr>
        <w:t>主要出口品类及区域分布特征</w:t>
      </w:r>
      <w:bookmarkEnd w:id="48"/>
    </w:p>
    <w:p w14:paraId="5ADEA8E0">
      <w:pPr>
        <w:pStyle w:val="25"/>
        <w:widowControl w:val="0"/>
        <w:numPr>
          <w:ilvl w:val="2"/>
          <w:numId w:val="0"/>
        </w:numPr>
        <w:tabs>
          <w:tab w:val="left" w:pos="502"/>
        </w:tabs>
        <w:spacing w:beforeLines="-2147483648" w:beforeAutospacing="0" w:afterLines="-2147483648" w:afterAutospacing="0"/>
        <w:ind w:leftChars="0"/>
        <w:jc w:val="both"/>
        <w:rPr>
          <w:rFonts w:hint="eastAsia" w:ascii="宋体" w:hAnsi="宋体" w:eastAsia="宋体" w:cs="宋体"/>
          <w:b w:val="0"/>
          <w:i w:val="0"/>
          <w:color w:val="333333"/>
          <w:sz w:val="24"/>
          <w:szCs w:val="24"/>
          <w:lang w:val="en-US" w:eastAsia="zh-CN"/>
        </w:rPr>
      </w:pPr>
      <w:bookmarkStart w:id="49" w:name="_Toc30396"/>
      <w:bookmarkStart w:id="50" w:name="_Toc5251"/>
      <w:bookmarkStart w:id="51" w:name="_Toc6074"/>
      <w:r>
        <w:rPr>
          <w:rFonts w:hint="eastAsia" w:ascii="Times New Roman" w:hAnsi="Times New Roman" w:cs="Times New Roman"/>
          <w:bCs/>
          <w:color w:val="000000"/>
          <w:kern w:val="2"/>
          <w:lang w:val="en-US" w:eastAsia="zh-CN"/>
        </w:rPr>
        <w:t xml:space="preserve">3.2.1  </w:t>
      </w:r>
      <w:bookmarkEnd w:id="49"/>
      <w:bookmarkEnd w:id="50"/>
      <w:r>
        <w:rPr>
          <w:rFonts w:hint="eastAsia" w:ascii="Times New Roman" w:hAnsi="Times New Roman" w:cs="Times New Roman"/>
          <w:bCs/>
          <w:color w:val="000000"/>
          <w:kern w:val="2"/>
          <w:lang w:val="en-US" w:eastAsia="zh-CN"/>
        </w:rPr>
        <w:t>核心出口品类分析</w:t>
      </w:r>
      <w:bookmarkEnd w:id="51"/>
    </w:p>
    <w:p w14:paraId="070AB95E">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center"/>
        <w:textAlignment w:val="auto"/>
        <w:rPr>
          <w:rFonts w:hint="default" w:ascii="宋体" w:hAnsi="宋体" w:eastAsia="宋体" w:cs="宋体"/>
          <w:b w:val="0"/>
          <w:i w:val="0"/>
          <w:color w:val="333333"/>
          <w:sz w:val="24"/>
          <w:szCs w:val="24"/>
          <w:lang w:val="en-US" w:eastAsia="zh-CN"/>
        </w:rPr>
      </w:pPr>
      <w:r>
        <w:rPr>
          <w:rStyle w:val="27"/>
          <w:rFonts w:hint="eastAsia"/>
          <w:lang w:val="en-US" w:eastAsia="zh-CN"/>
        </w:rPr>
        <w:t xml:space="preserve">表12 </w:t>
      </w:r>
      <w:r>
        <w:rPr>
          <w:rStyle w:val="27"/>
          <w:rFonts w:hint="default"/>
          <w:lang w:val="en-US" w:eastAsia="zh-CN"/>
        </w:rPr>
        <w:t>2023年中国对俄农产品出口核心数据</w:t>
      </w:r>
    </w:p>
    <w:tbl>
      <w:tblPr>
        <w:tblStyle w:val="15"/>
        <w:tblpPr w:leftFromText="180" w:rightFromText="180" w:vertAnchor="text" w:horzAnchor="page" w:tblpX="2477" w:tblpY="277"/>
        <w:tblOverlap w:val="never"/>
        <w:tblW w:w="0" w:type="auto"/>
        <w:tblInd w:w="-65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2794"/>
        <w:gridCol w:w="2160"/>
        <w:gridCol w:w="2969"/>
      </w:tblGrid>
      <w:tr w14:paraId="3C434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Header/>
        </w:trPr>
        <w:tc>
          <w:tcPr>
            <w:tcW w:w="2794" w:type="dxa"/>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70DA3FA9">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​维度​</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79F158E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​核心指标​</w:t>
            </w:r>
            <w:r>
              <w:rPr>
                <w:rFonts w:hint="default" w:ascii="Segoe UI" w:hAnsi="Segoe UI" w:eastAsia="Segoe UI" w:cs="Segoe UI"/>
                <w:b w:val="0"/>
                <w:bCs/>
                <w:i w:val="0"/>
                <w:iCs w:val="0"/>
                <w:caps w:val="0"/>
                <w:color w:val="000000"/>
                <w:spacing w:val="0"/>
                <w:kern w:val="0"/>
                <w:sz w:val="21"/>
                <w:szCs w:val="21"/>
                <w:lang w:val="en-US" w:eastAsia="zh-CN" w:bidi="ar"/>
              </w:rPr>
              <w:t>​</w:t>
            </w:r>
          </w:p>
        </w:tc>
        <w:tc>
          <w:tcPr>
            <w:tcW w:w="2969" w:type="dxa"/>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1E418D7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​数据表现​</w:t>
            </w:r>
            <w:r>
              <w:rPr>
                <w:rFonts w:hint="default" w:ascii="Segoe UI" w:hAnsi="Segoe UI" w:eastAsia="Segoe UI" w:cs="Segoe UI"/>
                <w:b w:val="0"/>
                <w:bCs/>
                <w:i w:val="0"/>
                <w:iCs w:val="0"/>
                <w:caps w:val="0"/>
                <w:color w:val="000000"/>
                <w:spacing w:val="0"/>
                <w:kern w:val="0"/>
                <w:sz w:val="21"/>
                <w:szCs w:val="21"/>
                <w:lang w:val="en-US" w:eastAsia="zh-CN" w:bidi="ar"/>
              </w:rPr>
              <w:t>​</w:t>
            </w:r>
          </w:p>
        </w:tc>
      </w:tr>
      <w:tr w14:paraId="6DE87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A86B1F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​品类结构​</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18033FE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蔬菜水果占比</w:t>
            </w:r>
          </w:p>
        </w:tc>
        <w:tc>
          <w:tcPr>
            <w:tcW w:w="2969" w:type="dxa"/>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0E2348CD">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64%（番茄35%、洋葱20%）</w:t>
            </w:r>
          </w:p>
        </w:tc>
      </w:tr>
      <w:tr w14:paraId="68AF8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747C936">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79EF9E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深加工食品增速</w:t>
            </w:r>
          </w:p>
        </w:tc>
        <w:tc>
          <w:tcPr>
            <w:tcW w:w="2969" w:type="dxa"/>
            <w:tcBorders>
              <w:top w:val="nil"/>
              <w:left w:val="nil"/>
              <w:bottom w:val="nil"/>
              <w:right w:val="nil"/>
            </w:tcBorders>
            <w:shd w:val="clear" w:color="auto" w:fill="FFFFFF"/>
            <w:tcMar>
              <w:top w:w="180" w:type="dxa"/>
              <w:left w:w="240" w:type="dxa"/>
              <w:bottom w:w="180" w:type="dxa"/>
              <w:right w:w="240" w:type="dxa"/>
            </w:tcMar>
            <w:vAlign w:val="center"/>
          </w:tcPr>
          <w:p w14:paraId="0CB5100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37%（速冻食品）</w:t>
            </w:r>
          </w:p>
        </w:tc>
      </w:tr>
      <w:tr w14:paraId="7C3F4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352CD63">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03A15D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大宗谷物萎缩幅度</w:t>
            </w:r>
          </w:p>
        </w:tc>
        <w:tc>
          <w:tcPr>
            <w:tcW w:w="2969" w:type="dxa"/>
            <w:tcBorders>
              <w:top w:val="nil"/>
              <w:left w:val="nil"/>
              <w:bottom w:val="nil"/>
              <w:right w:val="nil"/>
            </w:tcBorders>
            <w:shd w:val="clear" w:color="auto" w:fill="FFFFFF"/>
            <w:tcMar>
              <w:top w:w="180" w:type="dxa"/>
              <w:left w:w="240" w:type="dxa"/>
              <w:bottom w:w="180" w:type="dxa"/>
              <w:right w:w="240" w:type="dxa"/>
            </w:tcMar>
            <w:vAlign w:val="center"/>
          </w:tcPr>
          <w:p w14:paraId="2169CBB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玉米-18%、大豆-12%</w:t>
            </w:r>
          </w:p>
        </w:tc>
      </w:tr>
      <w:tr w14:paraId="0C198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85F362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w:t>
            </w:r>
            <w:r>
              <w:rPr>
                <w:rStyle w:val="18"/>
                <w:rFonts w:hint="default" w:ascii="Segoe UI" w:hAnsi="Segoe UI" w:eastAsia="Segoe UI" w:cs="Segoe UI"/>
                <w:b w:val="0"/>
                <w:bCs/>
                <w:i w:val="0"/>
                <w:iCs w:val="0"/>
                <w:caps w:val="0"/>
                <w:color w:val="000000"/>
                <w:spacing w:val="0"/>
                <w:kern w:val="0"/>
                <w:sz w:val="21"/>
                <w:szCs w:val="21"/>
                <w:vertAlign w:val="baseline"/>
                <w:lang w:val="en-US" w:eastAsia="zh-CN" w:bidi="ar"/>
              </w:rPr>
              <w:t>​区域分布​</w:t>
            </w:r>
            <w:r>
              <w:rPr>
                <w:rFonts w:hint="default" w:ascii="Segoe UI" w:hAnsi="Segoe UI" w:eastAsia="Segoe UI" w:cs="Segoe UI"/>
                <w:b w:val="0"/>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346371B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东北三省主导地位</w:t>
            </w:r>
          </w:p>
        </w:tc>
        <w:tc>
          <w:tcPr>
            <w:tcW w:w="2969" w:type="dxa"/>
            <w:tcBorders>
              <w:top w:val="nil"/>
              <w:left w:val="nil"/>
              <w:bottom w:val="nil"/>
              <w:right w:val="nil"/>
            </w:tcBorders>
            <w:shd w:val="clear" w:color="auto" w:fill="FFFFFF"/>
            <w:tcMar>
              <w:top w:w="180" w:type="dxa"/>
              <w:left w:w="240" w:type="dxa"/>
              <w:bottom w:w="180" w:type="dxa"/>
              <w:right w:w="240" w:type="dxa"/>
            </w:tcMar>
            <w:vAlign w:val="center"/>
          </w:tcPr>
          <w:p w14:paraId="0440E6F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72%（黑龙江58%、吉林14%）</w:t>
            </w:r>
          </w:p>
        </w:tc>
      </w:tr>
      <w:tr w14:paraId="441B3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E841D78">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A6B4BA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华东地区增速</w:t>
            </w:r>
          </w:p>
        </w:tc>
        <w:tc>
          <w:tcPr>
            <w:tcW w:w="2969" w:type="dxa"/>
            <w:tcBorders>
              <w:top w:val="nil"/>
              <w:left w:val="nil"/>
              <w:bottom w:val="nil"/>
              <w:right w:val="nil"/>
            </w:tcBorders>
            <w:shd w:val="clear" w:color="auto" w:fill="FFFFFF"/>
            <w:tcMar>
              <w:top w:w="180" w:type="dxa"/>
              <w:left w:w="240" w:type="dxa"/>
              <w:bottom w:w="180" w:type="dxa"/>
              <w:right w:w="240" w:type="dxa"/>
            </w:tcMar>
            <w:vAlign w:val="center"/>
          </w:tcPr>
          <w:p w14:paraId="5B28A8C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山东蔬菜出口+42%</w:t>
            </w:r>
          </w:p>
        </w:tc>
      </w:tr>
      <w:tr w14:paraId="307B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786781B">
            <w:pPr>
              <w:jc w:val="center"/>
              <w:rPr>
                <w:rFonts w:hint="default" w:ascii="Segoe UI" w:hAnsi="Segoe UI" w:eastAsia="Segoe UI" w:cs="Segoe UI"/>
                <w:b w:val="0"/>
                <w:i w:val="0"/>
                <w:iCs w:val="0"/>
                <w:caps w:val="0"/>
                <w:color w:val="000000"/>
                <w:spacing w:val="0"/>
                <w:sz w:val="21"/>
                <w:szCs w:val="21"/>
              </w:rPr>
            </w:pP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544265E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西南地区新兴通道</w:t>
            </w:r>
          </w:p>
        </w:tc>
        <w:tc>
          <w:tcPr>
            <w:tcW w:w="2969" w:type="dxa"/>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595EE38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rPr>
              <w:t>重庆冷链专列时效12天</w:t>
            </w:r>
          </w:p>
        </w:tc>
      </w:tr>
    </w:tbl>
    <w:p w14:paraId="1217288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val="0"/>
          <w:i w:val="0"/>
          <w:color w:val="333333"/>
          <w:sz w:val="24"/>
          <w:szCs w:val="24"/>
          <w:lang w:val="en-US" w:eastAsia="zh-CN"/>
        </w:rPr>
      </w:pPr>
    </w:p>
    <w:p w14:paraId="791294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中国对俄农产品出口以劳动密集型产品为主导，技术升级推动深加工品类占比持续提升。蔬菜与水果是最大出口类别，2023年占比达64%，其中番茄占蔬菜出口的35%，年出口量120万吨，凭借较俄本土产品25%的价格优势主导远东市场；洋葱因耐储运特性成为边境小额贸易主力，绥芬河口岸日均出口量超500吨。深加工食品增速最快（2023年占比18%），速冻水饺、包子等品类依托“海外仓+冷链”模式，出口额增长37%，莫斯科市场渗透率提升至15%；菌菇干制品（如黑龙江黑木耳）通过跨境电商直供，复购率超40%，单价达初级产品的2.8倍；预制菜通过本土化改良（如降低辣度）打开俄餐饮市场，2023年采购量增长55%。大宗谷物则受俄进口配额限制持续萎缩，玉米出口量下降18%，转向深加工玉米淀粉出口（增长22%）；非转基因大豆因俄自给率提升至65%，出口量缩减12%。此外，坚果、蜂蜜等特色品类呈现分化：松子、榛子以“高端礼品”定位溢价50%，而蜂蜜因EAC认证壁垒退货率高达20%，中小企业逐步退出市场。</w:t>
      </w:r>
    </w:p>
    <w:p w14:paraId="285A892D">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val="en-US" w:eastAsia="zh-CN"/>
        </w:rPr>
      </w:pPr>
      <w:bookmarkStart w:id="52" w:name="_Toc10676"/>
      <w:bookmarkStart w:id="53" w:name="_Toc8381"/>
      <w:bookmarkStart w:id="54" w:name="_Toc31911"/>
      <w:r>
        <w:rPr>
          <w:rFonts w:hint="eastAsia" w:ascii="Times New Roman" w:hAnsi="Times New Roman" w:cs="Times New Roman"/>
          <w:bCs/>
          <w:color w:val="000000"/>
          <w:kern w:val="2"/>
          <w:lang w:val="en-US" w:eastAsia="zh-CN"/>
        </w:rPr>
        <w:t xml:space="preserve">3.2.2  </w:t>
      </w:r>
      <w:bookmarkEnd w:id="52"/>
      <w:bookmarkEnd w:id="53"/>
      <w:r>
        <w:rPr>
          <w:rFonts w:hint="eastAsia" w:ascii="Times New Roman" w:hAnsi="Times New Roman" w:cs="Times New Roman"/>
          <w:bCs/>
          <w:color w:val="000000"/>
          <w:kern w:val="2"/>
          <w:lang w:val="en-US" w:eastAsia="zh-CN"/>
        </w:rPr>
        <w:t>区域市场分布特征</w:t>
      </w:r>
      <w:bookmarkEnd w:id="54"/>
    </w:p>
    <w:p w14:paraId="380B520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中国对俄农产品出口呈现“东北主导、区域分化”的格局。东北三省占据绝对优势，2023年贡献72%的出口额，其中黑龙江绥芬河、东宁口岸承担58%的边境贸易量，建成40万吨跨境冷链枢纽，重点出口蔬菜与速冻食品；吉林依托珲春口岸开拓水产加工品，鳕鱼片、鱼糜制品出口增长33%。华东地区成为增速最快的区域（占比15%），山东寿光通过“技术输出+合资农场”模式对俄出口反季节番茄增长42%；浙江义乌整合坚果供应链，电商直邮量增长60%。西南地区（占比8%）借力中欧班列突破物流瓶颈，重庆“渝新欧”冷链专列将榴莲、山竹等时效性水果运输时效压缩至12天，出口量翻倍；云南通过缅甸转口贸易规避陆运限制，咖啡豆、花卉出口额突破1.2亿美元。内陆省份则因政策与物流短板表现低迷，河南生猪制品受检疫壁垒限制仅出口0.8万吨，新疆因缺乏直达俄欧洲腹地的通道，出口额不足东北的1/10。</w:t>
      </w:r>
    </w:p>
    <w:p w14:paraId="716E35D4">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sz w:val="28"/>
          <w:szCs w:val="28"/>
          <w:lang w:val="en-US" w:eastAsia="zh-CN"/>
        </w:rPr>
      </w:pPr>
      <w:bookmarkStart w:id="55" w:name="_Toc13590"/>
      <w:r>
        <w:rPr>
          <w:rFonts w:hint="eastAsia" w:ascii="黑体" w:hAnsi="黑体" w:eastAsia="黑体" w:cs="黑体"/>
          <w:b w:val="0"/>
          <w:bCs/>
          <w:sz w:val="28"/>
          <w:szCs w:val="28"/>
          <w:lang w:val="en-US" w:eastAsia="zh-CN"/>
        </w:rPr>
        <w:t>3.3  当前贸易渠道与合作机制</w:t>
      </w:r>
      <w:bookmarkEnd w:id="55"/>
    </w:p>
    <w:p w14:paraId="564CF287">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val="en-US" w:eastAsia="zh-CN"/>
        </w:rPr>
      </w:pPr>
      <w:bookmarkStart w:id="56" w:name="_Toc25177"/>
      <w:r>
        <w:rPr>
          <w:rFonts w:hint="eastAsia" w:ascii="Times New Roman" w:hAnsi="Times New Roman" w:cs="Times New Roman"/>
          <w:bCs/>
          <w:color w:val="000000"/>
          <w:kern w:val="2"/>
          <w:lang w:val="en-US" w:eastAsia="zh-CN"/>
        </w:rPr>
        <w:t>3.3.1  传统贸易与新兴渠道结合</w:t>
      </w:r>
      <w:bookmarkEnd w:id="56"/>
    </w:p>
    <w:p w14:paraId="3F3AAF8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中国对俄农产品贸易渠道呈现传统与新兴模式并存的格局。传统贸易渠道仍占据主导地位，2023年边境小额贸易与一般贸易合计占比67%，但较2018年下降22个百分点，反映出新兴渠道的快速渗透。以绥芬河、东宁口岸为代表的陆路通道日均通关量超1.2万吨，但物流效率低下问题突出，平均通关时长48小时，高峰期果蔬损耗率高达18%。与此同时，跨境电商与中欧班列等新兴渠道加速崛起：跨境电商占比从2018年的4%提升至2023年的23%，Temu、AliExpress等平台通过“海外仓直发”模式将生鲜损耗率从15%压降至6%，复购率提升至35%；中欧班列冷链专列2023年开行量达120列，运输时效较海运缩短60%，实现莫斯科15天直达，但冷链集装箱缺口1.2万标箱制约其潜力释放。政府协议采购作为补充渠道，通过《粮食换能源长期协议》推动小麦出口50万吨，但品类单一性限制其规模扩展。</w:t>
      </w:r>
    </w:p>
    <w:p w14:paraId="1B1AE66C">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val="en-US" w:eastAsia="zh-CN"/>
        </w:rPr>
      </w:pPr>
      <w:bookmarkStart w:id="57" w:name="_Toc29262"/>
      <w:r>
        <w:rPr>
          <w:rFonts w:hint="eastAsia" w:ascii="Times New Roman" w:hAnsi="Times New Roman" w:cs="Times New Roman"/>
          <w:bCs/>
          <w:color w:val="000000"/>
          <w:kern w:val="2"/>
          <w:lang w:val="en-US" w:eastAsia="zh-CN"/>
        </w:rPr>
        <w:t>3.3.2  政策支持与平台建设</w:t>
      </w:r>
      <w:bookmarkEnd w:id="57"/>
    </w:p>
    <w:p w14:paraId="01EC8A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政策支持与平台建设是贸易升级的核心驱动力。“一带一路”倡议框架下，中俄共建的70个农业合作示范区2023年新增12个，拉动出口额增长18%；东北振兴战略向黑龙江自贸区跨境冷链枢纽（40万吨容量）与珲春口岸数字化改造投入160亿元，初步形成“口岸+园区+产业链”的协同网络。区域合作平台成效显著，哈尔滨对俄农产品博览会2023年促成订单额28亿美元，占全年出口额的35%；黑河、绥芬河中俄跨境电商综合试验区入驻企业超500家，交易额突破14亿美元。物流基建升级方面，中欧班列“绿色通道”通过优先通关使运输成本降低12%，莫斯科、圣彼得堡海外仓总面积超50万平方米，支撑“次日达”服务覆盖俄70%人口密集区。</w:t>
      </w:r>
    </w:p>
    <w:p w14:paraId="67F77218">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val="en-US" w:eastAsia="zh-CN"/>
        </w:rPr>
      </w:pPr>
      <w:bookmarkStart w:id="58" w:name="_Toc26849"/>
      <w:r>
        <w:rPr>
          <w:rFonts w:hint="eastAsia" w:ascii="Times New Roman" w:hAnsi="Times New Roman" w:cs="Times New Roman"/>
          <w:bCs/>
          <w:color w:val="000000"/>
          <w:kern w:val="2"/>
          <w:lang w:val="en-US" w:eastAsia="zh-CN"/>
        </w:rPr>
        <w:t>3.3.3  现存问题与瓶颈</w:t>
      </w:r>
      <w:bookmarkEnd w:id="58"/>
    </w:p>
    <w:p w14:paraId="599354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sectPr>
          <w:headerReference r:id="rId23" w:type="default"/>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default" w:ascii="宋体" w:hAnsi="宋体" w:eastAsia="宋体" w:cs="宋体"/>
          <w:b w:val="0"/>
          <w:i w:val="0"/>
          <w:color w:val="333333"/>
          <w:sz w:val="24"/>
          <w:szCs w:val="24"/>
          <w:lang w:val="en-US" w:eastAsia="zh-CN"/>
        </w:rPr>
        <w:t>然而，现存问题与瓶颈仍制约贸易效能提升。物流环节矛盾突出：绥芬河口岸高峰期日均滞留车辆超500台，冷链仓储缺口40万吨导致生鲜损耗率居高不下；中欧班列冷链集装箱短缺1.2万标箱，限制高附加值品类运输。技术性壁垒方面，EAC认证标准差异导致2023年退货损失达2.3亿美元，中小企业因缺乏合规能力，认证通过率仅53%，较龙头企业低36个百分点。政策不对等加剧风险，俄罗斯农业用地外资持股上限49%致使13个中资项目停滞，约30%边境贸易依赖灰色清关，面临罚没与供应链中断风险。区域发展失衡问题显著，东北三省集中度过高（72%），河南、新疆等农业大省受制于物流短板与政策协同不足，参与度不足5%，制约全国资源统筹。未来需优先突破冷链设施建设、认证互认机制与区域协同政策，推动贸易渠道从“规模扩张”向“质量增效”转型。</w:t>
      </w:r>
    </w:p>
    <w:p w14:paraId="6CA826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p>
    <w:p w14:paraId="40B22FDB">
      <w:pPr>
        <w:pStyle w:val="2"/>
        <w:keepNext/>
        <w:keepLines/>
        <w:pageBreakBefore w:val="0"/>
        <w:widowControl w:val="0"/>
        <w:kinsoku/>
        <w:wordWrap/>
        <w:overflowPunct/>
        <w:topLinePunct w:val="0"/>
        <w:autoSpaceDE/>
        <w:autoSpaceDN/>
        <w:bidi w:val="0"/>
        <w:adjustRightInd/>
        <w:snapToGrid/>
        <w:spacing w:before="156" w:beforeLines="50" w:after="156" w:afterLines="50" w:line="360" w:lineRule="auto"/>
        <w:jc w:val="center"/>
        <w:textAlignment w:val="auto"/>
        <w:rPr>
          <w:rFonts w:hint="eastAsia" w:ascii="黑体" w:hAnsi="黑体" w:eastAsia="黑体" w:cs="黑体"/>
          <w:b w:val="0"/>
          <w:bCs/>
          <w:sz w:val="30"/>
          <w:szCs w:val="30"/>
        </w:rPr>
      </w:pPr>
      <w:bookmarkStart w:id="59" w:name="_Toc2244"/>
      <w:bookmarkStart w:id="60" w:name="_Toc23466"/>
      <w:bookmarkStart w:id="61" w:name="_Toc27505"/>
      <w:r>
        <w:rPr>
          <w:rFonts w:hint="eastAsia" w:ascii="黑体" w:hAnsi="黑体" w:eastAsia="黑体" w:cs="黑体"/>
          <w:b w:val="0"/>
          <w:bCs/>
          <w:sz w:val="30"/>
          <w:szCs w:val="30"/>
          <w:lang w:val="en-US" w:eastAsia="zh-CN"/>
        </w:rPr>
        <w:t>第4章</w:t>
      </w:r>
      <w:r>
        <w:rPr>
          <w:rFonts w:hint="eastAsia" w:ascii="黑体" w:hAnsi="黑体" w:eastAsia="黑体" w:cs="黑体"/>
          <w:b w:val="0"/>
          <w:bCs/>
          <w:sz w:val="30"/>
          <w:szCs w:val="30"/>
        </w:rPr>
        <w:t xml:space="preserve"> 基于现状分析的核心结论</w:t>
      </w:r>
      <w:bookmarkEnd w:id="59"/>
      <w:bookmarkEnd w:id="60"/>
      <w:bookmarkEnd w:id="61"/>
    </w:p>
    <w:p w14:paraId="08B0055B">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sz w:val="28"/>
          <w:szCs w:val="28"/>
          <w:lang w:val="en-US" w:eastAsia="zh-CN"/>
        </w:rPr>
      </w:pPr>
      <w:bookmarkStart w:id="62" w:name="_Toc20356"/>
      <w:bookmarkStart w:id="63" w:name="_Toc13179"/>
      <w:bookmarkStart w:id="64" w:name="_Toc31092"/>
      <w:r>
        <w:rPr>
          <w:rFonts w:hint="eastAsia" w:ascii="黑体" w:hAnsi="黑体" w:eastAsia="黑体" w:cs="黑体"/>
          <w:b w:val="0"/>
          <w:bCs/>
          <w:sz w:val="28"/>
          <w:szCs w:val="28"/>
          <w:lang w:val="en-US" w:eastAsia="zh-CN"/>
        </w:rPr>
        <w:t xml:space="preserve">4.1  </w:t>
      </w:r>
      <w:bookmarkEnd w:id="62"/>
      <w:bookmarkEnd w:id="63"/>
      <w:r>
        <w:rPr>
          <w:rFonts w:hint="eastAsia" w:ascii="黑体" w:hAnsi="黑体" w:eastAsia="黑体" w:cs="黑体"/>
          <w:b w:val="0"/>
          <w:bCs/>
          <w:sz w:val="28"/>
          <w:szCs w:val="28"/>
          <w:lang w:val="en-US" w:eastAsia="zh-CN"/>
        </w:rPr>
        <w:t>双轨增长格局下的结构性矛盾</w:t>
      </w:r>
      <w:bookmarkEnd w:id="64"/>
    </w:p>
    <w:p w14:paraId="22F51F6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中国对俄农产品出口呈现显著的“双轨增长”特征，但深层次的结构性矛盾制约了贸易质量的整体提升。从数据来看，2023年玉米、大豆等传统大宗农产品出口增速降至8.1%，较2018-2020年的年均增速下降12个百分点。这一放缓态势主要受俄方政策限制影响——俄罗斯对小麦、大豆等品类实施的进口配额制度（年配额300万吨）已覆盖中国出口量的75%，形成刚性政策天花板。与此同时，俄本土农业自给能力提升进一步压缩出口空间，2023年俄罗斯大豆自给率达到65%，直接导致中国非转基因大豆对俄出口量同比减少12%。</w:t>
      </w:r>
    </w:p>
    <w:p w14:paraId="1178E82A">
      <w:pPr>
        <w:pStyle w:val="26"/>
        <w:bidi w:val="0"/>
      </w:pPr>
      <w:r>
        <w:rPr>
          <w:rFonts w:hint="default"/>
        </w:rPr>
        <w:t>​表</w:t>
      </w:r>
      <w:r>
        <w:rPr>
          <w:rFonts w:hint="eastAsia"/>
          <w:lang w:val="en-US" w:eastAsia="zh-CN"/>
        </w:rPr>
        <w:t>13</w:t>
      </w:r>
      <w:r>
        <w:rPr>
          <w:rFonts w:hint="default"/>
        </w:rPr>
        <w:t xml:space="preserve"> 双轨模式效益对比​​</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90"/>
        <w:gridCol w:w="1698"/>
        <w:gridCol w:w="2465"/>
        <w:gridCol w:w="2607"/>
      </w:tblGrid>
      <w:tr w14:paraId="1C3F2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25" w:hRule="atLeast"/>
          <w:tblHeader/>
        </w:trPr>
        <w:tc>
          <w:tcPr>
            <w:tcW w:w="1790" w:type="dxa"/>
            <w:tcBorders>
              <w:top w:val="single" w:color="000000" w:sz="12" w:space="0"/>
              <w:left w:val="nil"/>
              <w:bottom w:val="single" w:color="000000" w:sz="4" w:space="0"/>
              <w:right w:val="nil"/>
              <w:tl2br w:val="nil"/>
            </w:tcBorders>
            <w:shd w:val="clear" w:color="auto" w:fill="FFFFFF"/>
            <w:tcMar>
              <w:top w:w="144" w:type="dxa"/>
              <w:left w:w="192" w:type="dxa"/>
              <w:bottom w:w="144" w:type="dxa"/>
              <w:right w:w="192" w:type="dxa"/>
            </w:tcMar>
            <w:vAlign w:val="center"/>
          </w:tcPr>
          <w:p w14:paraId="1E3392B1">
            <w:pPr>
              <w:keepNext w:val="0"/>
              <w:keepLines w:val="0"/>
              <w:widowControl/>
              <w:suppressLineNumbers w:val="0"/>
              <w:spacing w:before="0" w:beforeAutospacing="0" w:after="0" w:afterAutospacing="0" w:line="19" w:lineRule="atLeast"/>
              <w:ind w:left="0" w:right="0"/>
              <w:jc w:val="center"/>
              <w:textAlignment w:val="center"/>
              <w:rPr>
                <w:rFonts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指标</w:t>
            </w:r>
          </w:p>
        </w:tc>
        <w:tc>
          <w:tcPr>
            <w:tcW w:w="1698" w:type="dxa"/>
            <w:tcBorders>
              <w:top w:val="single" w:color="000000" w:sz="12" w:space="0"/>
              <w:left w:val="nil"/>
              <w:bottom w:val="single" w:color="000000" w:sz="4" w:space="0"/>
              <w:right w:val="nil"/>
            </w:tcBorders>
            <w:shd w:val="clear" w:color="auto" w:fill="FFFFFF"/>
            <w:tcMar>
              <w:top w:w="144" w:type="dxa"/>
              <w:left w:w="192" w:type="dxa"/>
              <w:bottom w:w="144" w:type="dxa"/>
              <w:right w:w="192" w:type="dxa"/>
            </w:tcMar>
            <w:vAlign w:val="center"/>
          </w:tcPr>
          <w:p w14:paraId="1252BEA1">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大宗农产品</w:t>
            </w:r>
          </w:p>
        </w:tc>
        <w:tc>
          <w:tcPr>
            <w:tcW w:w="2465" w:type="dxa"/>
            <w:tcBorders>
              <w:top w:val="single" w:color="000000" w:sz="12" w:space="0"/>
              <w:left w:val="nil"/>
              <w:bottom w:val="single" w:color="000000" w:sz="4" w:space="0"/>
              <w:right w:val="nil"/>
            </w:tcBorders>
            <w:shd w:val="clear" w:color="auto" w:fill="FFFFFF"/>
            <w:tcMar>
              <w:top w:w="144" w:type="dxa"/>
              <w:left w:w="192" w:type="dxa"/>
              <w:bottom w:w="144" w:type="dxa"/>
              <w:right w:w="192" w:type="dxa"/>
            </w:tcMar>
            <w:vAlign w:val="center"/>
          </w:tcPr>
          <w:p w14:paraId="372E57BE">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深加工产品</w:t>
            </w:r>
          </w:p>
        </w:tc>
        <w:tc>
          <w:tcPr>
            <w:tcW w:w="2607" w:type="dxa"/>
            <w:tcBorders>
              <w:top w:val="single" w:color="000000" w:sz="12" w:space="0"/>
              <w:left w:val="nil"/>
              <w:bottom w:val="single" w:color="000000" w:sz="4" w:space="0"/>
              <w:right w:val="nil"/>
            </w:tcBorders>
            <w:shd w:val="clear" w:color="auto" w:fill="FFFFFF"/>
            <w:tcMar>
              <w:top w:w="144" w:type="dxa"/>
              <w:left w:w="192" w:type="dxa"/>
              <w:bottom w:w="144" w:type="dxa"/>
              <w:right w:w="192" w:type="dxa"/>
            </w:tcMar>
            <w:vAlign w:val="center"/>
          </w:tcPr>
          <w:p w14:paraId="2BA5DC66">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差距倍数</w:t>
            </w:r>
          </w:p>
        </w:tc>
      </w:tr>
      <w:tr w14:paraId="6FAE2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1" w:hRule="atLeast"/>
        </w:trPr>
        <w:tc>
          <w:tcPr>
            <w:tcW w:w="1790"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416862A0">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平均利润率</w:t>
            </w:r>
          </w:p>
        </w:tc>
        <w:tc>
          <w:tcPr>
            <w:tcW w:w="1698"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4D4CAEE3">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5.8%</w:t>
            </w:r>
          </w:p>
        </w:tc>
        <w:tc>
          <w:tcPr>
            <w:tcW w:w="2465"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50A90B97">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21.3%</w:t>
            </w:r>
          </w:p>
        </w:tc>
        <w:tc>
          <w:tcPr>
            <w:tcW w:w="2607"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40792D3D">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3.67x</w:t>
            </w:r>
          </w:p>
        </w:tc>
      </w:tr>
      <w:tr w14:paraId="30AC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1" w:hRule="atLeast"/>
        </w:trPr>
        <w:tc>
          <w:tcPr>
            <w:tcW w:w="1790" w:type="dxa"/>
            <w:tcBorders>
              <w:top w:val="nil"/>
              <w:left w:val="nil"/>
              <w:bottom w:val="nil"/>
              <w:right w:val="nil"/>
            </w:tcBorders>
            <w:shd w:val="clear" w:color="auto" w:fill="FFFFFF"/>
            <w:tcMar>
              <w:top w:w="144" w:type="dxa"/>
              <w:left w:w="192" w:type="dxa"/>
              <w:bottom w:w="144" w:type="dxa"/>
              <w:right w:w="192" w:type="dxa"/>
            </w:tcMar>
            <w:vAlign w:val="center"/>
          </w:tcPr>
          <w:p w14:paraId="2571CBF0">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政策补贴强度(元/吨)</w:t>
            </w:r>
          </w:p>
        </w:tc>
        <w:tc>
          <w:tcPr>
            <w:tcW w:w="1698" w:type="dxa"/>
            <w:tcBorders>
              <w:top w:val="nil"/>
              <w:left w:val="nil"/>
              <w:bottom w:val="nil"/>
              <w:right w:val="nil"/>
            </w:tcBorders>
            <w:shd w:val="clear" w:color="auto" w:fill="FFFFFF"/>
            <w:tcMar>
              <w:top w:w="144" w:type="dxa"/>
              <w:left w:w="192" w:type="dxa"/>
              <w:bottom w:w="144" w:type="dxa"/>
              <w:right w:w="192" w:type="dxa"/>
            </w:tcMar>
            <w:vAlign w:val="center"/>
          </w:tcPr>
          <w:p w14:paraId="77C4453C">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420</w:t>
            </w:r>
          </w:p>
        </w:tc>
        <w:tc>
          <w:tcPr>
            <w:tcW w:w="2465" w:type="dxa"/>
            <w:tcBorders>
              <w:top w:val="nil"/>
              <w:left w:val="nil"/>
              <w:bottom w:val="nil"/>
              <w:right w:val="nil"/>
            </w:tcBorders>
            <w:shd w:val="clear" w:color="auto" w:fill="FFFFFF"/>
            <w:tcMar>
              <w:top w:w="144" w:type="dxa"/>
              <w:left w:w="192" w:type="dxa"/>
              <w:bottom w:w="144" w:type="dxa"/>
              <w:right w:w="192" w:type="dxa"/>
            </w:tcMar>
            <w:vAlign w:val="center"/>
          </w:tcPr>
          <w:p w14:paraId="1F0CB4CF">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150</w:t>
            </w:r>
          </w:p>
        </w:tc>
        <w:tc>
          <w:tcPr>
            <w:tcW w:w="2607" w:type="dxa"/>
            <w:tcBorders>
              <w:top w:val="nil"/>
              <w:left w:val="nil"/>
              <w:bottom w:val="nil"/>
              <w:right w:val="nil"/>
            </w:tcBorders>
            <w:shd w:val="clear" w:color="auto" w:fill="FFFFFF"/>
            <w:tcMar>
              <w:top w:w="144" w:type="dxa"/>
              <w:left w:w="192" w:type="dxa"/>
              <w:bottom w:w="144" w:type="dxa"/>
              <w:right w:w="192" w:type="dxa"/>
            </w:tcMar>
            <w:vAlign w:val="center"/>
          </w:tcPr>
          <w:p w14:paraId="1E685BFD">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0.36x</w:t>
            </w:r>
          </w:p>
        </w:tc>
      </w:tr>
      <w:tr w14:paraId="2A9A7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1" w:hRule="atLeast"/>
        </w:trPr>
        <w:tc>
          <w:tcPr>
            <w:tcW w:w="1790"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51DAF47E">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物流成本占比</w:t>
            </w:r>
          </w:p>
        </w:tc>
        <w:tc>
          <w:tcPr>
            <w:tcW w:w="1698"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151C76BE">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38%</w:t>
            </w:r>
          </w:p>
        </w:tc>
        <w:tc>
          <w:tcPr>
            <w:tcW w:w="2465"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46209BE2">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25%</w:t>
            </w:r>
          </w:p>
        </w:tc>
        <w:tc>
          <w:tcPr>
            <w:tcW w:w="2607"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42D4E4BF">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0.66x</w:t>
            </w:r>
          </w:p>
        </w:tc>
      </w:tr>
    </w:tbl>
    <w:p w14:paraId="574B72B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p>
    <w:p w14:paraId="3F01C2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深加工产品虽保持37%的高速增长，但整体市场渗透率仍然偏低，仅占出口总额的20%。实地调研显示，俄市场准入成本过高是核心制约因素。单品类EAC认证费用高达12万元，相当于中小企业年均利润的23%，迫使部分企业放弃高附加值品类开发。供应链适配不足问题同样突出，莫斯科大型商超对生鲜农产品提出的48小时配送时效要求，仅35%的中国企业能够达标。此外，文化差异导致的产品适配失败加剧了经营风险，85%的预制菜未完成本土化改良（如辣度调整），导致退货率长期维持在18%的高位。</w:t>
      </w:r>
    </w:p>
    <w:p w14:paraId="10AA41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这种双轨模式已对贸易可持续性产生负面影响。大宗与深加工产品的利润率剪刀差持续扩大，2023年两类产品的平均利润率分别为5.8%和21.3%，差距倍数达3.67倍。资源错配现象尤为严重，东北地区企业用于冷链设施的投资中，73%流向传统大宗运输领域，但这些投资对利润增长的贡献率不足15%。若不能及时扭转结构失衡，中国对俄农产品出口可能陷入“低端锁定”的困境，错失俄罗斯消费升级带来的市场机遇。</w:t>
      </w:r>
    </w:p>
    <w:p w14:paraId="608716BC">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sz w:val="28"/>
          <w:szCs w:val="28"/>
          <w:lang w:val="en-US" w:eastAsia="zh-CN"/>
        </w:rPr>
      </w:pPr>
      <w:bookmarkStart w:id="65" w:name="_Toc17062"/>
      <w:bookmarkStart w:id="66" w:name="_Toc25699"/>
      <w:bookmarkStart w:id="67" w:name="_Toc25803"/>
      <w:r>
        <w:rPr>
          <w:rFonts w:hint="eastAsia" w:ascii="黑体" w:hAnsi="黑体" w:eastAsia="黑体" w:cs="黑体"/>
          <w:b w:val="0"/>
          <w:bCs/>
          <w:sz w:val="28"/>
          <w:szCs w:val="28"/>
          <w:lang w:val="en-US" w:eastAsia="zh-CN"/>
        </w:rPr>
        <w:t xml:space="preserve">4.2  </w:t>
      </w:r>
      <w:bookmarkEnd w:id="65"/>
      <w:bookmarkEnd w:id="66"/>
      <w:r>
        <w:rPr>
          <w:rFonts w:hint="eastAsia" w:ascii="黑体" w:hAnsi="黑体" w:eastAsia="黑体" w:cs="黑体"/>
          <w:b w:val="0"/>
          <w:bCs/>
          <w:sz w:val="28"/>
          <w:szCs w:val="28"/>
          <w:lang w:val="en-US" w:eastAsia="zh-CN"/>
        </w:rPr>
        <w:t>地理集聚与区域协同的矛盾</w:t>
      </w:r>
      <w:bookmarkEnd w:id="67"/>
    </w:p>
    <w:p w14:paraId="6F8C72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bookmarkStart w:id="68" w:name="_Toc31624"/>
      <w:bookmarkStart w:id="69" w:name="_Toc9781"/>
      <w:r>
        <w:rPr>
          <w:rFonts w:hint="default" w:ascii="宋体" w:hAnsi="宋体" w:eastAsia="宋体" w:cs="宋体"/>
          <w:b w:val="0"/>
          <w:i w:val="0"/>
          <w:color w:val="333333"/>
          <w:sz w:val="24"/>
          <w:szCs w:val="24"/>
          <w:lang w:val="en-US" w:eastAsia="zh-CN"/>
        </w:rPr>
        <w:t>东北三省凭借地缘优势占据对俄出口的绝对主导地位，2023年贡献全国72%的出口额，但这种地理集聚正衍生系统性风险。作为核心节点的绥芬河口岸已逼近承载极限：日均滞留车辆超过500台，高峰期等待时间长达72小时；冷链仓储40万吨的缺口导致生鲜损耗率居高不下，2023年仍维持在18%。俄方政策的突发性调整更放大了运营风险，2023年第三季度俄罗斯单方面收紧边境防疫政策，导致口岸单日通关量骤降40%，直接造成东北企业1.2亿元的货值损失。</w:t>
      </w:r>
    </w:p>
    <w:p w14:paraId="075ACCEA">
      <w:pPr>
        <w:pStyle w:val="26"/>
        <w:bidi w:val="0"/>
      </w:pPr>
      <w:r>
        <w:rPr>
          <w:rFonts w:hint="default"/>
        </w:rPr>
        <w:t>表</w:t>
      </w:r>
      <w:r>
        <w:rPr>
          <w:rFonts w:hint="eastAsia"/>
          <w:lang w:val="en-US" w:eastAsia="zh-CN"/>
        </w:rPr>
        <w:t>14</w:t>
      </w:r>
      <w:r>
        <w:rPr>
          <w:rFonts w:hint="default"/>
        </w:rPr>
        <w:t xml:space="preserve"> 区域发展失衡数据​​</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80"/>
        <w:gridCol w:w="2073"/>
        <w:gridCol w:w="2367"/>
        <w:gridCol w:w="2553"/>
      </w:tblGrid>
      <w:tr w14:paraId="357B1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1" w:hRule="atLeast"/>
          <w:tblHeader/>
        </w:trPr>
        <w:tc>
          <w:tcPr>
            <w:tcW w:w="1480" w:type="dxa"/>
            <w:tcBorders>
              <w:top w:val="single" w:color="000000" w:sz="12" w:space="0"/>
              <w:left w:val="nil"/>
              <w:bottom w:val="single" w:color="000000" w:sz="4" w:space="0"/>
              <w:right w:val="nil"/>
              <w:tl2br w:val="nil"/>
            </w:tcBorders>
            <w:shd w:val="clear" w:color="auto" w:fill="FFFFFF"/>
            <w:tcMar>
              <w:top w:w="144" w:type="dxa"/>
              <w:left w:w="192" w:type="dxa"/>
              <w:bottom w:w="144" w:type="dxa"/>
              <w:right w:w="192" w:type="dxa"/>
            </w:tcMar>
            <w:vAlign w:val="center"/>
          </w:tcPr>
          <w:p w14:paraId="656E0FF4">
            <w:pPr>
              <w:keepNext w:val="0"/>
              <w:keepLines w:val="0"/>
              <w:widowControl/>
              <w:suppressLineNumbers w:val="0"/>
              <w:spacing w:before="0" w:beforeAutospacing="0" w:after="0" w:afterAutospacing="0" w:line="19" w:lineRule="atLeast"/>
              <w:ind w:left="0" w:right="0"/>
              <w:jc w:val="center"/>
              <w:textAlignment w:val="center"/>
              <w:rPr>
                <w:rFonts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区域</w:t>
            </w:r>
          </w:p>
        </w:tc>
        <w:tc>
          <w:tcPr>
            <w:tcW w:w="2073" w:type="dxa"/>
            <w:tcBorders>
              <w:top w:val="single" w:color="000000" w:sz="12" w:space="0"/>
              <w:left w:val="nil"/>
              <w:bottom w:val="single" w:color="000000" w:sz="4" w:space="0"/>
              <w:right w:val="nil"/>
            </w:tcBorders>
            <w:shd w:val="clear" w:color="auto" w:fill="FFFFFF"/>
            <w:tcMar>
              <w:top w:w="144" w:type="dxa"/>
              <w:left w:w="192" w:type="dxa"/>
              <w:bottom w:w="144" w:type="dxa"/>
              <w:right w:w="192" w:type="dxa"/>
            </w:tcMar>
            <w:vAlign w:val="center"/>
          </w:tcPr>
          <w:p w14:paraId="484A72CD">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冷链设施占有率</w:t>
            </w:r>
          </w:p>
        </w:tc>
        <w:tc>
          <w:tcPr>
            <w:tcW w:w="2367" w:type="dxa"/>
            <w:tcBorders>
              <w:top w:val="single" w:color="000000" w:sz="12" w:space="0"/>
              <w:left w:val="nil"/>
              <w:bottom w:val="single" w:color="000000" w:sz="4" w:space="0"/>
              <w:right w:val="nil"/>
            </w:tcBorders>
            <w:shd w:val="clear" w:color="auto" w:fill="FFFFFF"/>
            <w:tcMar>
              <w:top w:w="144" w:type="dxa"/>
              <w:left w:w="192" w:type="dxa"/>
              <w:bottom w:w="144" w:type="dxa"/>
              <w:right w:w="192" w:type="dxa"/>
            </w:tcMar>
            <w:vAlign w:val="center"/>
          </w:tcPr>
          <w:p w14:paraId="29CE21AE">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政策补贴覆盖率</w:t>
            </w:r>
          </w:p>
        </w:tc>
        <w:tc>
          <w:tcPr>
            <w:tcW w:w="2553" w:type="dxa"/>
            <w:tcBorders>
              <w:top w:val="single" w:color="000000" w:sz="12" w:space="0"/>
              <w:left w:val="nil"/>
              <w:bottom w:val="single" w:color="000000" w:sz="4" w:space="0"/>
              <w:right w:val="nil"/>
            </w:tcBorders>
            <w:shd w:val="clear" w:color="auto" w:fill="FFFFFF"/>
            <w:tcMar>
              <w:top w:w="144" w:type="dxa"/>
              <w:left w:w="192" w:type="dxa"/>
              <w:bottom w:w="144" w:type="dxa"/>
              <w:right w:w="192" w:type="dxa"/>
            </w:tcMar>
            <w:vAlign w:val="center"/>
          </w:tcPr>
          <w:p w14:paraId="5AD9E982">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出口增速</w:t>
            </w:r>
          </w:p>
        </w:tc>
      </w:tr>
      <w:tr w14:paraId="6CBB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00" w:hRule="atLeast"/>
        </w:trPr>
        <w:tc>
          <w:tcPr>
            <w:tcW w:w="1480"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2FCBFDC4">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东北三省</w:t>
            </w:r>
          </w:p>
        </w:tc>
        <w:tc>
          <w:tcPr>
            <w:tcW w:w="2073"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386C17D8">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72%</w:t>
            </w:r>
          </w:p>
        </w:tc>
        <w:tc>
          <w:tcPr>
            <w:tcW w:w="2367"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5DA180A7">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89%</w:t>
            </w:r>
          </w:p>
        </w:tc>
        <w:tc>
          <w:tcPr>
            <w:tcW w:w="2553"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5C5D0019">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9.2%</w:t>
            </w:r>
          </w:p>
        </w:tc>
      </w:tr>
      <w:tr w14:paraId="40782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0" w:hRule="atLeast"/>
        </w:trPr>
        <w:tc>
          <w:tcPr>
            <w:tcW w:w="1480" w:type="dxa"/>
            <w:tcBorders>
              <w:top w:val="nil"/>
              <w:left w:val="nil"/>
              <w:bottom w:val="nil"/>
              <w:right w:val="nil"/>
            </w:tcBorders>
            <w:shd w:val="clear" w:color="auto" w:fill="FFFFFF"/>
            <w:tcMar>
              <w:top w:w="144" w:type="dxa"/>
              <w:left w:w="192" w:type="dxa"/>
              <w:bottom w:w="144" w:type="dxa"/>
              <w:right w:w="192" w:type="dxa"/>
            </w:tcMar>
            <w:vAlign w:val="center"/>
          </w:tcPr>
          <w:p w14:paraId="4490AA3C">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华东地区</w:t>
            </w:r>
          </w:p>
        </w:tc>
        <w:tc>
          <w:tcPr>
            <w:tcW w:w="2073" w:type="dxa"/>
            <w:tcBorders>
              <w:top w:val="nil"/>
              <w:left w:val="nil"/>
              <w:bottom w:val="nil"/>
              <w:right w:val="nil"/>
            </w:tcBorders>
            <w:shd w:val="clear" w:color="auto" w:fill="FFFFFF"/>
            <w:tcMar>
              <w:top w:w="144" w:type="dxa"/>
              <w:left w:w="192" w:type="dxa"/>
              <w:bottom w:w="144" w:type="dxa"/>
              <w:right w:w="192" w:type="dxa"/>
            </w:tcMar>
            <w:vAlign w:val="center"/>
          </w:tcPr>
          <w:p w14:paraId="554BA0D1">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15%</w:t>
            </w:r>
          </w:p>
        </w:tc>
        <w:tc>
          <w:tcPr>
            <w:tcW w:w="2367" w:type="dxa"/>
            <w:tcBorders>
              <w:top w:val="nil"/>
              <w:left w:val="nil"/>
              <w:bottom w:val="nil"/>
              <w:right w:val="nil"/>
            </w:tcBorders>
            <w:shd w:val="clear" w:color="auto" w:fill="FFFFFF"/>
            <w:tcMar>
              <w:top w:w="144" w:type="dxa"/>
              <w:left w:w="192" w:type="dxa"/>
              <w:bottom w:w="144" w:type="dxa"/>
              <w:right w:w="192" w:type="dxa"/>
            </w:tcMar>
            <w:vAlign w:val="center"/>
          </w:tcPr>
          <w:p w14:paraId="12EC62BE">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43%</w:t>
            </w:r>
          </w:p>
        </w:tc>
        <w:tc>
          <w:tcPr>
            <w:tcW w:w="2553" w:type="dxa"/>
            <w:tcBorders>
              <w:top w:val="nil"/>
              <w:left w:val="nil"/>
              <w:bottom w:val="nil"/>
              <w:right w:val="nil"/>
            </w:tcBorders>
            <w:shd w:val="clear" w:color="auto" w:fill="FFFFFF"/>
            <w:tcMar>
              <w:top w:w="144" w:type="dxa"/>
              <w:left w:w="192" w:type="dxa"/>
              <w:bottom w:w="144" w:type="dxa"/>
              <w:right w:w="192" w:type="dxa"/>
            </w:tcMar>
            <w:vAlign w:val="center"/>
          </w:tcPr>
          <w:p w14:paraId="6395ABCF">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22.7%</w:t>
            </w:r>
          </w:p>
        </w:tc>
      </w:tr>
      <w:tr w14:paraId="7EC1F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00" w:hRule="atLeast"/>
        </w:trPr>
        <w:tc>
          <w:tcPr>
            <w:tcW w:w="1480" w:type="dxa"/>
            <w:tcBorders>
              <w:top w:val="nil"/>
              <w:left w:val="nil"/>
              <w:bottom w:val="nil"/>
              <w:right w:val="nil"/>
            </w:tcBorders>
            <w:shd w:val="clear" w:color="auto" w:fill="FFFFFF"/>
            <w:tcMar>
              <w:top w:w="144" w:type="dxa"/>
              <w:left w:w="192" w:type="dxa"/>
              <w:bottom w:w="144" w:type="dxa"/>
              <w:right w:w="192" w:type="dxa"/>
            </w:tcMar>
            <w:vAlign w:val="center"/>
          </w:tcPr>
          <w:p w14:paraId="6DB90528">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西南地区</w:t>
            </w:r>
          </w:p>
        </w:tc>
        <w:tc>
          <w:tcPr>
            <w:tcW w:w="2073" w:type="dxa"/>
            <w:tcBorders>
              <w:top w:val="nil"/>
              <w:left w:val="nil"/>
              <w:bottom w:val="nil"/>
              <w:right w:val="nil"/>
            </w:tcBorders>
            <w:shd w:val="clear" w:color="auto" w:fill="FFFFFF"/>
            <w:tcMar>
              <w:top w:w="144" w:type="dxa"/>
              <w:left w:w="192" w:type="dxa"/>
              <w:bottom w:w="144" w:type="dxa"/>
              <w:right w:w="192" w:type="dxa"/>
            </w:tcMar>
            <w:vAlign w:val="center"/>
          </w:tcPr>
          <w:p w14:paraId="4C907FE4">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8%</w:t>
            </w:r>
          </w:p>
        </w:tc>
        <w:tc>
          <w:tcPr>
            <w:tcW w:w="2367" w:type="dxa"/>
            <w:tcBorders>
              <w:top w:val="nil"/>
              <w:left w:val="nil"/>
              <w:bottom w:val="nil"/>
              <w:right w:val="nil"/>
            </w:tcBorders>
            <w:shd w:val="clear" w:color="auto" w:fill="FFFFFF"/>
            <w:tcMar>
              <w:top w:w="144" w:type="dxa"/>
              <w:left w:w="192" w:type="dxa"/>
              <w:bottom w:w="144" w:type="dxa"/>
              <w:right w:w="192" w:type="dxa"/>
            </w:tcMar>
            <w:vAlign w:val="center"/>
          </w:tcPr>
          <w:p w14:paraId="4360E508">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17%</w:t>
            </w:r>
          </w:p>
        </w:tc>
        <w:tc>
          <w:tcPr>
            <w:tcW w:w="2553" w:type="dxa"/>
            <w:tcBorders>
              <w:top w:val="nil"/>
              <w:left w:val="nil"/>
              <w:bottom w:val="nil"/>
              <w:right w:val="nil"/>
            </w:tcBorders>
            <w:shd w:val="clear" w:color="auto" w:fill="FFFFFF"/>
            <w:tcMar>
              <w:top w:w="144" w:type="dxa"/>
              <w:left w:w="192" w:type="dxa"/>
              <w:bottom w:w="144" w:type="dxa"/>
              <w:right w:w="192" w:type="dxa"/>
            </w:tcMar>
            <w:vAlign w:val="center"/>
          </w:tcPr>
          <w:p w14:paraId="42CA8343">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18.5%</w:t>
            </w:r>
          </w:p>
        </w:tc>
      </w:tr>
      <w:tr w14:paraId="6EDB5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0" w:hRule="atLeast"/>
        </w:trPr>
        <w:tc>
          <w:tcPr>
            <w:tcW w:w="1480"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28251C04">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内陆省份</w:t>
            </w:r>
          </w:p>
        </w:tc>
        <w:tc>
          <w:tcPr>
            <w:tcW w:w="2073"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73993074">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5%</w:t>
            </w:r>
          </w:p>
        </w:tc>
        <w:tc>
          <w:tcPr>
            <w:tcW w:w="2367"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5C828173">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12%</w:t>
            </w:r>
          </w:p>
        </w:tc>
        <w:tc>
          <w:tcPr>
            <w:tcW w:w="2553"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347A0638">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3.1%</w:t>
            </w:r>
          </w:p>
        </w:tc>
      </w:tr>
    </w:tbl>
    <w:p w14:paraId="34AD193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内陆农业大省的边缘化现状暴露了区域协同机制的严重缺位。河南、四川等省份对俄出口占比不足5%，其症结在于三重制度性障碍：政策支持力度薄弱，仅12%的内陆企业获得省级对俄贸易专项补贴；物流通道建设滞后，武汉至莫斯科的铁路运费较东北高出30%，运输时效延长5-7天；信息壁垒难以突破，83%的内陆企业不了解EAC认证的具体流程。这种区域分割加剧了资源错配，全国在建的冷链物流项目中40%过度集中于东北地区，而西南地区的实际缺口高达25万吨。</w:t>
      </w:r>
    </w:p>
    <w:p w14:paraId="2487F9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更值得警惕的是，省际恶性竞争正侵蚀整体利益。2023年各省为争夺俄罗斯订单，在番茄等品类上出现0.3美元/公斤的报价差异，这种无序竞争直接引发俄进口商集体压价12%。区域协同机制的缺失不仅削弱议价能力，更导致俄罗斯在中俄农业合作中占据不对称优势地位。</w:t>
      </w:r>
    </w:p>
    <w:p w14:paraId="157641EF">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sz w:val="28"/>
          <w:szCs w:val="28"/>
        </w:rPr>
      </w:pPr>
      <w:bookmarkStart w:id="70" w:name="_Toc8005"/>
      <w:r>
        <w:rPr>
          <w:rFonts w:hint="eastAsia" w:ascii="黑体" w:hAnsi="黑体" w:cs="黑体"/>
          <w:b w:val="0"/>
          <w:bCs/>
          <w:sz w:val="28"/>
          <w:szCs w:val="28"/>
          <w:lang w:val="en-US" w:eastAsia="zh-CN"/>
        </w:rPr>
        <w:t>4</w:t>
      </w:r>
      <w:r>
        <w:rPr>
          <w:rFonts w:hint="eastAsia" w:ascii="黑体" w:hAnsi="黑体" w:eastAsia="黑体" w:cs="黑体"/>
          <w:b w:val="0"/>
          <w:bCs/>
          <w:sz w:val="28"/>
          <w:szCs w:val="28"/>
        </w:rPr>
        <w:t>.3</w:t>
      </w:r>
      <w:r>
        <w:rPr>
          <w:rFonts w:hint="eastAsia" w:ascii="黑体" w:hAnsi="黑体" w:cs="黑体"/>
          <w:b w:val="0"/>
          <w:bCs/>
          <w:sz w:val="28"/>
          <w:szCs w:val="28"/>
          <w:lang w:val="en-US" w:eastAsia="zh-CN"/>
        </w:rPr>
        <w:t xml:space="preserve"> </w:t>
      </w:r>
      <w:r>
        <w:rPr>
          <w:rFonts w:hint="eastAsia" w:ascii="黑体" w:hAnsi="黑体" w:eastAsia="黑体" w:cs="黑体"/>
          <w:b w:val="0"/>
          <w:bCs/>
          <w:sz w:val="28"/>
          <w:szCs w:val="28"/>
        </w:rPr>
        <w:t xml:space="preserve"> </w:t>
      </w:r>
      <w:bookmarkEnd w:id="68"/>
      <w:bookmarkEnd w:id="69"/>
      <w:r>
        <w:rPr>
          <w:rFonts w:hint="eastAsia" w:ascii="黑体" w:hAnsi="黑体" w:eastAsia="黑体" w:cs="黑体"/>
          <w:b w:val="0"/>
          <w:bCs/>
          <w:sz w:val="28"/>
          <w:szCs w:val="28"/>
        </w:rPr>
        <w:t>渠道升级与制度瓶颈的冲突</w:t>
      </w:r>
      <w:bookmarkEnd w:id="70"/>
    </w:p>
    <w:p w14:paraId="208A89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中</w:t>
      </w:r>
      <w:bookmarkStart w:id="71" w:name="_Toc18806"/>
      <w:bookmarkStart w:id="72" w:name="_Toc5530"/>
      <w:r>
        <w:rPr>
          <w:rFonts w:hint="default" w:ascii="宋体" w:hAnsi="宋体" w:eastAsia="宋体" w:cs="宋体"/>
          <w:b w:val="0"/>
          <w:i w:val="0"/>
          <w:color w:val="333333"/>
          <w:sz w:val="24"/>
          <w:szCs w:val="24"/>
          <w:lang w:val="en-US" w:eastAsia="zh-CN"/>
        </w:rPr>
        <w:t>跨境电商等新兴渠道的快速扩张并未根本性突破制度瓶颈。尽管跨境电商占比提升至23%，但边际效益已呈现递减趋势。莫斯科核心仓的租金从2021年的8.3美元/平方米/月飙升至2023年的12美元，涨幅达45%；平台佣金率从5%提升至9%，直接侵蚀企业15-20%的利润空间。获客成本攀升更为显著，Temu平台单个俄罗斯买家的获取成本达到8.7美元，较2022年增长67%。这些成本压力正在倒逼部分企业退回传统贸易渠道。</w:t>
      </w:r>
    </w:p>
    <w:p w14:paraId="267DE79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96" w:beforeAutospacing="0" w:after="144" w:afterAutospacing="0" w:line="21" w:lineRule="atLeast"/>
        <w:ind w:left="0" w:right="0" w:firstLine="0"/>
        <w:jc w:val="center"/>
        <w:textAlignment w:val="baseline"/>
        <w:rPr>
          <w:rFonts w:ascii="Segoe UI" w:hAnsi="Segoe UI" w:eastAsia="Segoe UI" w:cs="Segoe UI"/>
          <w:i w:val="0"/>
          <w:iCs w:val="0"/>
          <w:caps w:val="0"/>
          <w:spacing w:val="0"/>
          <w:sz w:val="19"/>
          <w:szCs w:val="19"/>
        </w:rPr>
      </w:pPr>
      <w:r>
        <w:rPr>
          <w:rStyle w:val="27"/>
          <w:rFonts w:hint="default"/>
        </w:rPr>
        <w:t>表</w:t>
      </w:r>
      <w:r>
        <w:rPr>
          <w:rStyle w:val="27"/>
          <w:rFonts w:hint="eastAsia"/>
          <w:lang w:val="en-US"/>
        </w:rPr>
        <w:t>15</w:t>
      </w:r>
      <w:r>
        <w:rPr>
          <w:rStyle w:val="27"/>
          <w:rFonts w:hint="default"/>
        </w:rPr>
        <w:t xml:space="preserve"> 制度性成本分析​</w:t>
      </w:r>
      <w:r>
        <w:rPr>
          <w:rFonts w:hint="default" w:ascii="Segoe UI" w:hAnsi="Segoe UI" w:eastAsia="Segoe UI" w:cs="Segoe UI"/>
          <w:i w:val="0"/>
          <w:iCs w:val="0"/>
          <w:caps w:val="0"/>
          <w:spacing w:val="0"/>
          <w:sz w:val="19"/>
          <w:szCs w:val="19"/>
          <w:shd w:val="clear" w:fill="FCFCFC"/>
          <w:vertAlign w:val="baseline"/>
        </w:rPr>
        <w:t>​</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24"/>
        <w:gridCol w:w="2024"/>
        <w:gridCol w:w="2231"/>
        <w:gridCol w:w="2470"/>
      </w:tblGrid>
      <w:tr w14:paraId="2D676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08" w:hRule="atLeast"/>
          <w:tblHeader/>
        </w:trPr>
        <w:tc>
          <w:tcPr>
            <w:tcW w:w="0" w:type="auto"/>
            <w:tcBorders>
              <w:top w:val="single" w:color="000000" w:sz="12" w:space="0"/>
              <w:left w:val="nil"/>
              <w:bottom w:val="single" w:color="000000" w:sz="4" w:space="0"/>
              <w:right w:val="nil"/>
              <w:tl2br w:val="nil"/>
            </w:tcBorders>
            <w:shd w:val="clear" w:color="auto" w:fill="FFFFFF"/>
            <w:tcMar>
              <w:top w:w="144" w:type="dxa"/>
              <w:left w:w="192" w:type="dxa"/>
              <w:bottom w:w="144" w:type="dxa"/>
              <w:right w:w="192" w:type="dxa"/>
            </w:tcMar>
            <w:vAlign w:val="center"/>
          </w:tcPr>
          <w:p w14:paraId="4B91EA4C">
            <w:pPr>
              <w:keepNext w:val="0"/>
              <w:keepLines w:val="0"/>
              <w:widowControl/>
              <w:suppressLineNumbers w:val="0"/>
              <w:spacing w:before="0" w:beforeAutospacing="0" w:after="0" w:afterAutospacing="0" w:line="19" w:lineRule="atLeast"/>
              <w:ind w:left="0" w:right="0"/>
              <w:jc w:val="center"/>
              <w:textAlignment w:val="center"/>
              <w:rPr>
                <w:rFonts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项目</w:t>
            </w:r>
          </w:p>
        </w:tc>
        <w:tc>
          <w:tcPr>
            <w:tcW w:w="2024" w:type="dxa"/>
            <w:tcBorders>
              <w:top w:val="single" w:color="000000" w:sz="12" w:space="0"/>
              <w:left w:val="nil"/>
              <w:bottom w:val="single" w:color="000000" w:sz="4" w:space="0"/>
              <w:right w:val="nil"/>
            </w:tcBorders>
            <w:shd w:val="clear" w:color="auto" w:fill="FFFFFF"/>
            <w:tcMar>
              <w:top w:w="144" w:type="dxa"/>
              <w:left w:w="192" w:type="dxa"/>
              <w:bottom w:w="144" w:type="dxa"/>
              <w:right w:w="192" w:type="dxa"/>
            </w:tcMar>
            <w:vAlign w:val="center"/>
          </w:tcPr>
          <w:p w14:paraId="1D8486FA">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中小企业</w:t>
            </w:r>
          </w:p>
        </w:tc>
        <w:tc>
          <w:tcPr>
            <w:tcW w:w="2231" w:type="dxa"/>
            <w:tcBorders>
              <w:top w:val="single" w:color="000000" w:sz="12" w:space="0"/>
              <w:left w:val="nil"/>
              <w:bottom w:val="single" w:color="000000" w:sz="4" w:space="0"/>
              <w:right w:val="nil"/>
            </w:tcBorders>
            <w:shd w:val="clear" w:color="auto" w:fill="FFFFFF"/>
            <w:tcMar>
              <w:top w:w="144" w:type="dxa"/>
              <w:left w:w="192" w:type="dxa"/>
              <w:bottom w:w="144" w:type="dxa"/>
              <w:right w:w="192" w:type="dxa"/>
            </w:tcMar>
            <w:vAlign w:val="center"/>
          </w:tcPr>
          <w:p w14:paraId="28D3AA9F">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龙头企业</w:t>
            </w:r>
          </w:p>
        </w:tc>
        <w:tc>
          <w:tcPr>
            <w:tcW w:w="2470" w:type="dxa"/>
            <w:tcBorders>
              <w:top w:val="single" w:color="000000" w:sz="12" w:space="0"/>
              <w:left w:val="nil"/>
              <w:bottom w:val="single" w:color="000000" w:sz="4" w:space="0"/>
              <w:right w:val="nil"/>
            </w:tcBorders>
            <w:shd w:val="clear" w:color="auto" w:fill="FFFFFF"/>
            <w:tcMar>
              <w:top w:w="144" w:type="dxa"/>
              <w:left w:w="192" w:type="dxa"/>
              <w:bottom w:w="144" w:type="dxa"/>
              <w:right w:w="192" w:type="dxa"/>
            </w:tcMar>
            <w:vAlign w:val="center"/>
          </w:tcPr>
          <w:p w14:paraId="7FC4EC3D">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bCs/>
                <w:color w:val="000000"/>
                <w:sz w:val="16"/>
                <w:szCs w:val="16"/>
              </w:rPr>
            </w:pPr>
            <w:r>
              <w:rPr>
                <w:rFonts w:hint="default" w:ascii="Segoe UI" w:hAnsi="Segoe UI" w:eastAsia="Segoe UI" w:cs="Segoe UI"/>
                <w:b w:val="0"/>
                <w:bCs/>
                <w:color w:val="000000"/>
                <w:kern w:val="0"/>
                <w:sz w:val="16"/>
                <w:szCs w:val="16"/>
                <w:lang w:val="en-US" w:eastAsia="zh-CN" w:bidi="ar"/>
              </w:rPr>
              <w:t>差距</w:t>
            </w:r>
          </w:p>
        </w:tc>
      </w:tr>
      <w:tr w14:paraId="4B44E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27" w:hRule="atLeast"/>
        </w:trPr>
        <w:tc>
          <w:tcPr>
            <w:tcW w:w="0" w:type="auto"/>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71BDC600">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EAC认证周期(天)</w:t>
            </w:r>
          </w:p>
        </w:tc>
        <w:tc>
          <w:tcPr>
            <w:tcW w:w="2024"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2D2B3CCF">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114</w:t>
            </w:r>
          </w:p>
        </w:tc>
        <w:tc>
          <w:tcPr>
            <w:tcW w:w="2231"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6E6AB2D9">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67</w:t>
            </w:r>
          </w:p>
        </w:tc>
        <w:tc>
          <w:tcPr>
            <w:tcW w:w="2470" w:type="dxa"/>
            <w:tcBorders>
              <w:top w:val="single" w:color="000000" w:sz="4" w:space="0"/>
              <w:left w:val="nil"/>
              <w:bottom w:val="nil"/>
              <w:right w:val="nil"/>
            </w:tcBorders>
            <w:shd w:val="clear" w:color="auto" w:fill="FFFFFF"/>
            <w:tcMar>
              <w:top w:w="144" w:type="dxa"/>
              <w:left w:w="192" w:type="dxa"/>
              <w:bottom w:w="144" w:type="dxa"/>
              <w:right w:w="192" w:type="dxa"/>
            </w:tcMar>
            <w:vAlign w:val="center"/>
          </w:tcPr>
          <w:p w14:paraId="19CFDF6E">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+70%</w:t>
            </w:r>
          </w:p>
        </w:tc>
      </w:tr>
      <w:tr w14:paraId="0F7EA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27" w:hRule="atLeast"/>
        </w:trPr>
        <w:tc>
          <w:tcPr>
            <w:tcW w:w="0" w:type="auto"/>
            <w:tcBorders>
              <w:top w:val="nil"/>
              <w:left w:val="nil"/>
              <w:bottom w:val="nil"/>
              <w:right w:val="nil"/>
            </w:tcBorders>
            <w:shd w:val="clear" w:color="auto" w:fill="FFFFFF"/>
            <w:tcMar>
              <w:top w:w="144" w:type="dxa"/>
              <w:left w:w="192" w:type="dxa"/>
              <w:bottom w:w="144" w:type="dxa"/>
              <w:right w:w="192" w:type="dxa"/>
            </w:tcMar>
            <w:vAlign w:val="center"/>
          </w:tcPr>
          <w:p w14:paraId="21F020EB">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汇损率</w:t>
            </w:r>
          </w:p>
        </w:tc>
        <w:tc>
          <w:tcPr>
            <w:tcW w:w="2024" w:type="dxa"/>
            <w:tcBorders>
              <w:top w:val="nil"/>
              <w:left w:val="nil"/>
              <w:bottom w:val="nil"/>
              <w:right w:val="nil"/>
            </w:tcBorders>
            <w:shd w:val="clear" w:color="auto" w:fill="FFFFFF"/>
            <w:tcMar>
              <w:top w:w="144" w:type="dxa"/>
              <w:left w:w="192" w:type="dxa"/>
              <w:bottom w:w="144" w:type="dxa"/>
              <w:right w:w="192" w:type="dxa"/>
            </w:tcMar>
            <w:vAlign w:val="center"/>
          </w:tcPr>
          <w:p w14:paraId="2922C40E">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4.8%</w:t>
            </w:r>
          </w:p>
        </w:tc>
        <w:tc>
          <w:tcPr>
            <w:tcW w:w="2231" w:type="dxa"/>
            <w:tcBorders>
              <w:top w:val="nil"/>
              <w:left w:val="nil"/>
              <w:bottom w:val="nil"/>
              <w:right w:val="nil"/>
            </w:tcBorders>
            <w:shd w:val="clear" w:color="auto" w:fill="FFFFFF"/>
            <w:tcMar>
              <w:top w:w="144" w:type="dxa"/>
              <w:left w:w="192" w:type="dxa"/>
              <w:bottom w:w="144" w:type="dxa"/>
              <w:right w:w="192" w:type="dxa"/>
            </w:tcMar>
            <w:vAlign w:val="center"/>
          </w:tcPr>
          <w:p w14:paraId="7A4AF36C">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1.2%</w:t>
            </w:r>
          </w:p>
        </w:tc>
        <w:tc>
          <w:tcPr>
            <w:tcW w:w="2470" w:type="dxa"/>
            <w:tcBorders>
              <w:top w:val="nil"/>
              <w:left w:val="nil"/>
              <w:bottom w:val="nil"/>
              <w:right w:val="nil"/>
            </w:tcBorders>
            <w:shd w:val="clear" w:color="auto" w:fill="FFFFFF"/>
            <w:tcMar>
              <w:top w:w="144" w:type="dxa"/>
              <w:left w:w="192" w:type="dxa"/>
              <w:bottom w:w="144" w:type="dxa"/>
              <w:right w:w="192" w:type="dxa"/>
            </w:tcMar>
            <w:vAlign w:val="center"/>
          </w:tcPr>
          <w:p w14:paraId="464F30D7">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+300%</w:t>
            </w:r>
          </w:p>
        </w:tc>
      </w:tr>
      <w:tr w14:paraId="7B833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77" w:hRule="atLeast"/>
        </w:trPr>
        <w:tc>
          <w:tcPr>
            <w:tcW w:w="0" w:type="auto"/>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6D3165DC">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海外仓租赁成本占比</w:t>
            </w:r>
          </w:p>
        </w:tc>
        <w:tc>
          <w:tcPr>
            <w:tcW w:w="2024"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3749766D">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18%</w:t>
            </w:r>
          </w:p>
        </w:tc>
        <w:tc>
          <w:tcPr>
            <w:tcW w:w="2231"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3F01086D">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9%</w:t>
            </w:r>
          </w:p>
        </w:tc>
        <w:tc>
          <w:tcPr>
            <w:tcW w:w="2470" w:type="dxa"/>
            <w:tcBorders>
              <w:top w:val="nil"/>
              <w:left w:val="nil"/>
              <w:bottom w:val="single" w:color="000000" w:sz="12" w:space="0"/>
              <w:right w:val="nil"/>
            </w:tcBorders>
            <w:shd w:val="clear" w:color="auto" w:fill="FFFFFF"/>
            <w:tcMar>
              <w:top w:w="144" w:type="dxa"/>
              <w:left w:w="192" w:type="dxa"/>
              <w:bottom w:w="144" w:type="dxa"/>
              <w:right w:w="192" w:type="dxa"/>
            </w:tcMar>
            <w:vAlign w:val="center"/>
          </w:tcPr>
          <w:p w14:paraId="3DCBFB71">
            <w:pPr>
              <w:keepNext w:val="0"/>
              <w:keepLines w:val="0"/>
              <w:widowControl/>
              <w:suppressLineNumbers w:val="0"/>
              <w:spacing w:before="0" w:beforeAutospacing="0" w:after="0" w:afterAutospacing="0" w:line="19" w:lineRule="atLeast"/>
              <w:ind w:left="0" w:right="0"/>
              <w:jc w:val="center"/>
              <w:textAlignment w:val="center"/>
              <w:rPr>
                <w:rFonts w:hint="default" w:ascii="Segoe UI" w:hAnsi="Segoe UI" w:eastAsia="Segoe UI" w:cs="Segoe UI"/>
                <w:b w:val="0"/>
                <w:color w:val="000000"/>
                <w:sz w:val="16"/>
                <w:szCs w:val="16"/>
              </w:rPr>
            </w:pPr>
            <w:r>
              <w:rPr>
                <w:rFonts w:hint="default" w:ascii="Segoe UI" w:hAnsi="Segoe UI" w:eastAsia="Segoe UI" w:cs="Segoe UI"/>
                <w:b w:val="0"/>
                <w:color w:val="000000"/>
                <w:kern w:val="0"/>
                <w:sz w:val="16"/>
                <w:szCs w:val="16"/>
                <w:lang w:val="en-US" w:eastAsia="zh-CN" w:bidi="ar"/>
              </w:rPr>
              <w:t>+100%</w:t>
            </w:r>
          </w:p>
        </w:tc>
      </w:tr>
    </w:tbl>
    <w:p w14:paraId="607BD77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p>
    <w:p w14:paraId="096EE1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zh-CN"/>
        </w:rPr>
        <w:t>技术性贸易壁垒仍是制约出口升级的最大障碍。EAC认证标准与我国GB体系存在216项实质性差异，其中农药残留限值等关键指标严于国内标准2.5倍。认证执行的区域性差异进一步加剧合规难度，远东地区的产品抽检率仅为38%，而莫斯科地区高达72%。对中小企业而言，114天的平均认证周期导致83%的生鲜产品在完成认证前就已超过保质期，严重制约高附加值品类出口。</w:t>
      </w:r>
    </w:p>
    <w:p w14:paraId="7901F7B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sectPr>
          <w:headerReference r:id="rId24" w:type="default"/>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default" w:ascii="宋体" w:hAnsi="宋体" w:eastAsia="宋体" w:cs="宋体"/>
          <w:b w:val="0"/>
          <w:i w:val="0"/>
          <w:color w:val="333333"/>
          <w:sz w:val="24"/>
          <w:szCs w:val="24"/>
          <w:lang w:val="en-US" w:eastAsia="zh-CN"/>
        </w:rPr>
        <w:t>俄方制度约束引发的系统性风险持续累积。农业用地外资持股49%的上限政策已导致13个中资项目停滞，涉及50万吨的年产能损失。灰色清关渠道虽贡献30%的出口量，但年潜在罚没风险达1.8亿美元。更严峻的是，卢布结算比例提升至58%的同时，汇率波动率高达35%，2023年因此产生的汇兑损失达4.2亿元。这些制度性风险正在形成“堰塞湖”效应，随时可能冲击中俄农产品贸易的基本盘。</w:t>
      </w:r>
    </w:p>
    <w:p w14:paraId="62979D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zh-CN"/>
        </w:rPr>
      </w:pPr>
    </w:p>
    <w:p w14:paraId="20211887">
      <w:pPr>
        <w:pStyle w:val="2"/>
        <w:keepNext/>
        <w:keepLines/>
        <w:pageBreakBefore w:val="0"/>
        <w:widowControl w:val="0"/>
        <w:kinsoku/>
        <w:wordWrap/>
        <w:overflowPunct/>
        <w:topLinePunct w:val="0"/>
        <w:autoSpaceDE/>
        <w:autoSpaceDN/>
        <w:bidi w:val="0"/>
        <w:adjustRightInd/>
        <w:snapToGrid/>
        <w:spacing w:before="156" w:beforeLines="50" w:after="156" w:afterLines="50" w:line="360" w:lineRule="auto"/>
        <w:jc w:val="center"/>
        <w:textAlignment w:val="auto"/>
        <w:rPr>
          <w:rFonts w:hint="eastAsia" w:ascii="黑体" w:hAnsi="黑体" w:eastAsia="黑体" w:cs="黑体"/>
          <w:b w:val="0"/>
          <w:bCs/>
          <w:sz w:val="30"/>
          <w:szCs w:val="30"/>
        </w:rPr>
      </w:pPr>
      <w:bookmarkStart w:id="73" w:name="_Toc7240"/>
      <w:r>
        <w:rPr>
          <w:rFonts w:hint="eastAsia" w:ascii="黑体" w:hAnsi="黑体" w:eastAsia="黑体" w:cs="黑体"/>
          <w:b w:val="0"/>
          <w:bCs/>
          <w:sz w:val="30"/>
          <w:szCs w:val="30"/>
          <w:lang w:val="en-US" w:eastAsia="zh-CN"/>
        </w:rPr>
        <w:t>第5章</w:t>
      </w:r>
      <w:r>
        <w:rPr>
          <w:rFonts w:hint="eastAsia" w:ascii="黑体" w:hAnsi="黑体" w:eastAsia="黑体" w:cs="黑体"/>
          <w:b w:val="0"/>
          <w:bCs/>
          <w:sz w:val="30"/>
          <w:szCs w:val="30"/>
        </w:rPr>
        <w:t xml:space="preserve"> </w:t>
      </w:r>
      <w:r>
        <w:rPr>
          <w:rFonts w:hint="eastAsia" w:ascii="黑体" w:hAnsi="黑体" w:eastAsia="黑体" w:cs="黑体"/>
          <w:b w:val="0"/>
          <w:bCs/>
          <w:sz w:val="30"/>
          <w:szCs w:val="30"/>
          <w:lang w:val="en-US" w:eastAsia="zh-CN"/>
        </w:rPr>
        <w:t xml:space="preserve"> </w:t>
      </w:r>
      <w:bookmarkEnd w:id="71"/>
      <w:bookmarkEnd w:id="72"/>
      <w:r>
        <w:rPr>
          <w:rFonts w:hint="eastAsia" w:ascii="黑体" w:hAnsi="黑体" w:eastAsia="黑体" w:cs="黑体"/>
          <w:b w:val="0"/>
          <w:bCs/>
          <w:sz w:val="30"/>
          <w:szCs w:val="30"/>
          <w:lang w:val="en-US" w:eastAsia="zh-CN"/>
        </w:rPr>
        <w:t>中中国对俄罗斯农产品出口的</w:t>
      </w:r>
      <w:r>
        <w:rPr>
          <w:rFonts w:hint="eastAsia" w:ascii="黑体" w:hAnsi="黑体" w:eastAsia="黑体" w:cs="黑体"/>
          <w:b w:val="0"/>
          <w:bCs/>
          <w:sz w:val="30"/>
          <w:szCs w:val="30"/>
        </w:rPr>
        <w:t>潜力与趋势预测</w:t>
      </w:r>
      <w:bookmarkEnd w:id="73"/>
    </w:p>
    <w:p w14:paraId="536C6251">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cs="黑体"/>
          <w:b w:val="0"/>
          <w:bCs/>
          <w:sz w:val="28"/>
          <w:szCs w:val="28"/>
          <w:lang w:val="en-US" w:eastAsia="zh-CN"/>
        </w:rPr>
      </w:pPr>
      <w:bookmarkStart w:id="74" w:name="_Toc11326"/>
      <w:bookmarkStart w:id="75" w:name="_Toc7529"/>
      <w:bookmarkStart w:id="76" w:name="_Toc31260"/>
      <w:r>
        <w:rPr>
          <w:rFonts w:hint="eastAsia" w:ascii="黑体" w:hAnsi="黑体" w:cs="黑体"/>
          <w:b w:val="0"/>
          <w:bCs/>
          <w:sz w:val="28"/>
          <w:szCs w:val="28"/>
          <w:lang w:val="en-US" w:eastAsia="zh-CN"/>
        </w:rPr>
        <w:t xml:space="preserve">5.1  </w:t>
      </w:r>
      <w:bookmarkEnd w:id="74"/>
      <w:bookmarkEnd w:id="75"/>
      <w:r>
        <w:rPr>
          <w:rFonts w:hint="eastAsia" w:ascii="黑体" w:hAnsi="黑体" w:cs="黑体"/>
          <w:b w:val="0"/>
          <w:bCs/>
          <w:sz w:val="28"/>
          <w:szCs w:val="28"/>
          <w:lang w:val="en-US" w:eastAsia="zh-CN"/>
        </w:rPr>
        <w:t>俄罗斯农产品市场需求潜力分析</w:t>
      </w:r>
      <w:bookmarkEnd w:id="76"/>
    </w:p>
    <w:p w14:paraId="51E43AC1">
      <w:pPr>
        <w:pStyle w:val="25"/>
        <w:widowControl w:val="0"/>
        <w:numPr>
          <w:ilvl w:val="2"/>
          <w:numId w:val="0"/>
        </w:numPr>
        <w:tabs>
          <w:tab w:val="left" w:pos="502"/>
        </w:tabs>
        <w:spacing w:beforeLines="-2147483648" w:beforeAutospacing="0" w:afterLines="-2147483648" w:afterAutospacing="0"/>
        <w:ind w:leftChars="0"/>
        <w:jc w:val="both"/>
        <w:rPr>
          <w:rFonts w:hint="default" w:ascii="Times New Roman" w:hAnsi="Times New Roman" w:cs="Times New Roman"/>
          <w:bCs/>
          <w:color w:val="000000"/>
          <w:kern w:val="2"/>
          <w:lang w:val="en-US" w:eastAsia="zh-CN"/>
        </w:rPr>
      </w:pPr>
      <w:bookmarkStart w:id="77" w:name="_Toc4312"/>
      <w:bookmarkStart w:id="78" w:name="_Toc27437"/>
      <w:bookmarkStart w:id="79" w:name="_Toc4982"/>
      <w:r>
        <w:rPr>
          <w:rFonts w:hint="eastAsia" w:ascii="Times New Roman" w:hAnsi="Times New Roman" w:cs="Times New Roman"/>
          <w:bCs/>
          <w:color w:val="000000"/>
          <w:kern w:val="2"/>
          <w:lang w:val="en-US" w:eastAsia="zh-CN"/>
        </w:rPr>
        <w:t xml:space="preserve">5.1.1  </w:t>
      </w:r>
      <w:bookmarkEnd w:id="77"/>
      <w:bookmarkEnd w:id="78"/>
      <w:r>
        <w:rPr>
          <w:rFonts w:hint="eastAsia" w:ascii="Times New Roman" w:hAnsi="Times New Roman" w:cs="Times New Roman"/>
          <w:bCs/>
          <w:color w:val="000000"/>
          <w:kern w:val="2"/>
          <w:lang w:val="en-US" w:eastAsia="zh-CN"/>
        </w:rPr>
        <w:t>俄罗斯主要农产品需求缺口与进口依赖度</w:t>
      </w:r>
      <w:bookmarkEnd w:id="79"/>
    </w:p>
    <w:p w14:paraId="4EDDA2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俄罗斯农产品市场存在显著的结构性供需失衡。2023年，俄罗斯蔬菜自给率仅为45%，水果自给率不足30%，肉类自给率58%，核心品类依赖进口：蔬菜年需求量2800万吨中，本土产量仅1260万吨，进口依赖度达55%，其中番茄、洋葱、黄瓜占进口量的72%，中国供应占比58%；水果进口依赖度超80%，中国占苹果、柑橘类进口份额的42%，但受土耳其、伊朗竞争，份额较2020年下降8%。肉类缺口更为突出，牛肉年进口50万吨（依赖度40%）、猪肉40万吨（依赖度35%），中国占比分别为12%和18%，远低于巴西（牛肉35%）和欧盟（猪肉40%）。西方制裁加剧了进口格局重构，2022年欧盟对俄农产品出口下降23%，中国迅速填补空缺，蔬菜出口量增长35%，但肉类替代滞后，仅增长8%，暴露供应链衔接不足问题。</w:t>
      </w:r>
    </w:p>
    <w:p w14:paraId="23E23C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p>
    <w:p w14:paraId="73339E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p>
    <w:p w14:paraId="5B3503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i w:val="0"/>
          <w:color w:val="333333"/>
          <w:sz w:val="24"/>
          <w:szCs w:val="24"/>
          <w:lang w:val="en-US" w:eastAsia="zh-CN"/>
        </w:rPr>
      </w:pPr>
    </w:p>
    <w:p w14:paraId="579DD6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i w:val="0"/>
          <w:color w:val="333333"/>
          <w:sz w:val="24"/>
          <w:szCs w:val="24"/>
          <w:lang w:val="en-US" w:eastAsia="zh-CN"/>
        </w:rPr>
      </w:pPr>
    </w:p>
    <w:p w14:paraId="542302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i w:val="0"/>
          <w:color w:val="333333"/>
          <w:sz w:val="24"/>
          <w:szCs w:val="24"/>
          <w:lang w:val="en-US" w:eastAsia="zh-CN"/>
        </w:rPr>
      </w:pPr>
    </w:p>
    <w:p w14:paraId="728F46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i w:val="0"/>
          <w:color w:val="333333"/>
          <w:sz w:val="24"/>
          <w:szCs w:val="24"/>
          <w:lang w:val="en-US" w:eastAsia="zh-CN"/>
        </w:rPr>
      </w:pPr>
    </w:p>
    <w:p w14:paraId="7F3A0D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i w:val="0"/>
          <w:color w:val="333333"/>
          <w:sz w:val="24"/>
          <w:szCs w:val="24"/>
          <w:lang w:val="en-US" w:eastAsia="zh-CN"/>
        </w:rPr>
      </w:pPr>
    </w:p>
    <w:p w14:paraId="1EA61763">
      <w:pPr>
        <w:pStyle w:val="26"/>
        <w:bidi w:val="0"/>
        <w:rPr>
          <w:rFonts w:hint="eastAsia"/>
          <w:lang w:val="en-US" w:eastAsia="zh-CN"/>
        </w:rPr>
      </w:pPr>
      <w:r>
        <w:rPr>
          <w:rFonts w:hint="eastAsia"/>
          <w:lang w:val="en-US" w:eastAsia="zh-CN"/>
        </w:rPr>
        <w:t>表16 俄罗斯主要农产品供需缺口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65"/>
        <w:gridCol w:w="2129"/>
        <w:gridCol w:w="2129"/>
        <w:gridCol w:w="2361"/>
      </w:tblGrid>
      <w:tr w14:paraId="7F301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701316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​​品类​​</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70E726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自给率​​</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314F68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进口依赖度​​</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5C65D85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中国供应占比​​</w:t>
            </w:r>
          </w:p>
        </w:tc>
      </w:tr>
      <w:tr w14:paraId="6E0C0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38A933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蔬菜</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025FBD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45%</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6ACB2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55%</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22B98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58%</w:t>
            </w:r>
          </w:p>
        </w:tc>
      </w:tr>
      <w:tr w14:paraId="0EDFC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8D8AC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水果</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1F093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30%</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F14F8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70%</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BD135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42%</w:t>
            </w:r>
          </w:p>
        </w:tc>
      </w:tr>
      <w:tr w14:paraId="72F50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6C282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牛肉</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0AAA4E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60%</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C6ED0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40%</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9350D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12%</w:t>
            </w:r>
          </w:p>
        </w:tc>
      </w:tr>
      <w:tr w14:paraId="1D656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11595E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猪肉</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11A6A8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65%</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2270F4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35%</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265E15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18%</w:t>
            </w:r>
          </w:p>
        </w:tc>
      </w:tr>
    </w:tbl>
    <w:p w14:paraId="58A8CFE8">
      <w:pPr>
        <w:pStyle w:val="25"/>
        <w:widowControl w:val="0"/>
        <w:numPr>
          <w:ilvl w:val="2"/>
          <w:numId w:val="0"/>
        </w:numPr>
        <w:tabs>
          <w:tab w:val="left" w:pos="502"/>
        </w:tabs>
        <w:spacing w:beforeLines="-2147483648" w:beforeAutospacing="0" w:afterLines="-2147483648" w:afterAutospacing="0"/>
        <w:ind w:leftChars="0"/>
        <w:jc w:val="both"/>
        <w:rPr>
          <w:rFonts w:hint="eastAsia" w:ascii="Times New Roman" w:hAnsi="Times New Roman" w:cs="Times New Roman"/>
          <w:bCs/>
          <w:color w:val="000000"/>
          <w:kern w:val="2"/>
          <w:lang w:val="en-US" w:eastAsia="zh-CN"/>
        </w:rPr>
      </w:pPr>
      <w:bookmarkStart w:id="80" w:name="_Toc12282"/>
      <w:bookmarkStart w:id="81" w:name="_Toc13602"/>
      <w:bookmarkStart w:id="82" w:name="_Toc23188"/>
      <w:r>
        <w:rPr>
          <w:rFonts w:hint="eastAsia" w:ascii="Times New Roman" w:hAnsi="Times New Roman" w:cs="Times New Roman"/>
          <w:bCs/>
          <w:color w:val="000000"/>
          <w:kern w:val="2"/>
          <w:lang w:val="en-US" w:eastAsia="zh-CN"/>
        </w:rPr>
        <w:t xml:space="preserve">5.1.2  </w:t>
      </w:r>
      <w:bookmarkEnd w:id="80"/>
      <w:bookmarkEnd w:id="81"/>
      <w:r>
        <w:rPr>
          <w:rFonts w:hint="eastAsia" w:ascii="Times New Roman" w:hAnsi="Times New Roman" w:cs="Times New Roman"/>
          <w:bCs/>
          <w:color w:val="000000"/>
          <w:kern w:val="2"/>
          <w:lang w:val="en-US" w:eastAsia="zh-CN"/>
        </w:rPr>
        <w:t>消费升级驱动的细分市场需求</w:t>
      </w:r>
      <w:bookmarkEnd w:id="82"/>
      <w:r>
        <w:rPr>
          <w:rFonts w:hint="eastAsia" w:ascii="Times New Roman" w:hAnsi="Times New Roman" w:cs="Times New Roman"/>
          <w:bCs/>
          <w:color w:val="000000"/>
          <w:kern w:val="2"/>
          <w:lang w:val="en-US" w:eastAsia="zh-CN"/>
        </w:rPr>
        <w:tab/>
      </w:r>
    </w:p>
    <w:p w14:paraId="0811A12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俄罗斯中高收入群体扩大催生消费升级，细分市场需求快速增长。有机农产品市场规模达45亿美元，年增长率12%，中国对俄出口有机大豆、黑木耳等品类增长50%，但认证壁垒导致退货率高达15%；高端水果如车厘子、蓝莓需求增长25%，单价超15元/公斤的品类通过空运直供占比提升至30%，但物流成本占售价的40%，制约市场渗透；预制菜与便利食品因都市快节奏生活兴起，速冻水饺、中式调料包对俄出口增长55%，但需适配俄式口味（如降低辣度、增加奶油风味）。消费者调研显示，俄罗斯市场对“中国原产认证”的支付溢价意愿为10%-15%，但仅12%的中国企业建立俄语品牌体系，导致高端市场份额被土耳其、以色列抢占。</w:t>
      </w:r>
    </w:p>
    <w:p w14:paraId="20BB3A4F">
      <w:pPr>
        <w:pStyle w:val="26"/>
        <w:bidi w:val="0"/>
        <w:rPr>
          <w:rFonts w:hint="default"/>
        </w:rPr>
      </w:pPr>
      <w:r>
        <w:rPr>
          <w:rFonts w:hint="default"/>
        </w:rPr>
        <w:t>表</w:t>
      </w:r>
      <w:r>
        <w:rPr>
          <w:rFonts w:hint="eastAsia"/>
          <w:lang w:val="en-US" w:eastAsia="zh-CN"/>
        </w:rPr>
        <w:t>17</w:t>
      </w:r>
      <w:r>
        <w:rPr>
          <w:rFonts w:hint="default"/>
        </w:rPr>
        <w:t xml:space="preserve"> 俄罗斯消费升级品类表现（2023年）</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6"/>
        <w:gridCol w:w="2556"/>
        <w:gridCol w:w="2109"/>
        <w:gridCol w:w="2583"/>
      </w:tblGrid>
      <w:tr w14:paraId="1980A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50CE42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品类</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4DC138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市场规模/增速</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40A30CC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中国出口增速</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0704C6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核心瓶颈​​</w:t>
            </w:r>
          </w:p>
        </w:tc>
      </w:tr>
      <w:tr w14:paraId="76A6D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FFBF1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有机食品</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7C9226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45亿美元（+12%）</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0062BE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+50%</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34C241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认证退货率15%</w:t>
            </w:r>
          </w:p>
        </w:tc>
      </w:tr>
      <w:tr w14:paraId="784AB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08970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高端水果</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49953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25%需求增长</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3F52E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空运占比30%</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2B419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物流成本占售价40%</w:t>
            </w:r>
          </w:p>
        </w:tc>
      </w:tr>
      <w:tr w14:paraId="492E3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287D4A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预制菜</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4714D4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55%出口增长</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5061D4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55%</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620158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i w:val="0"/>
                <w:color w:val="000000"/>
                <w:sz w:val="24"/>
                <w:szCs w:val="24"/>
              </w:rPr>
            </w:pPr>
            <w:r>
              <w:rPr>
                <w:rFonts w:hint="default" w:ascii="宋体" w:hAnsi="宋体" w:eastAsia="宋体" w:cs="宋体"/>
                <w:b w:val="0"/>
                <w:i w:val="0"/>
                <w:color w:val="000000"/>
                <w:sz w:val="24"/>
                <w:szCs w:val="24"/>
                <w:lang w:val="en-US" w:eastAsia="zh-CN"/>
              </w:rPr>
              <w:t>口味适配不足</w:t>
            </w:r>
          </w:p>
        </w:tc>
      </w:tr>
    </w:tbl>
    <w:p w14:paraId="09B6F1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i w:val="0"/>
          <w:color w:val="333333"/>
          <w:sz w:val="24"/>
          <w:szCs w:val="24"/>
        </w:rPr>
      </w:pPr>
    </w:p>
    <w:p w14:paraId="7F92BD3E">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eastAsia" w:eastAsia="宋体"/>
          <w:sz w:val="24"/>
          <w:szCs w:val="24"/>
          <w:lang w:eastAsia="zh-CN"/>
        </w:rPr>
      </w:pPr>
      <w:bookmarkStart w:id="83" w:name="_Toc2218"/>
      <w:r>
        <w:rPr>
          <w:rFonts w:hint="eastAsia" w:ascii="Times New Roman" w:hAnsi="Times New Roman" w:eastAsia="黑体" w:cs="Times New Roman"/>
          <w:b w:val="0"/>
          <w:bCs/>
          <w:color w:val="000000"/>
          <w:kern w:val="2"/>
          <w:sz w:val="24"/>
          <w:szCs w:val="24"/>
          <w:lang w:val="en-US" w:eastAsia="zh-CN" w:bidi="ar-SA"/>
        </w:rPr>
        <w:t xml:space="preserve">5.1.3  </w:t>
      </w:r>
      <w:r>
        <w:rPr>
          <w:rFonts w:hint="default" w:ascii="Times New Roman" w:hAnsi="Times New Roman" w:eastAsia="黑体" w:cs="Times New Roman"/>
          <w:b w:val="0"/>
          <w:bCs/>
          <w:color w:val="000000"/>
          <w:kern w:val="2"/>
          <w:sz w:val="24"/>
          <w:szCs w:val="24"/>
          <w:lang w:val="en-US" w:eastAsia="zh-CN" w:bidi="ar-SA"/>
        </w:rPr>
        <w:t>西方制裁下的替代性需求增长空间</w:t>
      </w:r>
      <w:bookmarkEnd w:id="83"/>
      <w:r>
        <w:rPr>
          <w:rFonts w:hint="eastAsia" w:ascii="Segoe UI" w:hAnsi="Segoe UI" w:eastAsia="宋体" w:cs="Segoe UI"/>
          <w:i w:val="0"/>
          <w:iCs w:val="0"/>
          <w:caps w:val="0"/>
          <w:spacing w:val="0"/>
          <w:sz w:val="24"/>
          <w:szCs w:val="24"/>
          <w:shd w:val="clear" w:fill="FCFCFC"/>
          <w:lang w:eastAsia="zh-CN"/>
        </w:rPr>
        <w:tab/>
      </w:r>
    </w:p>
    <w:p w14:paraId="32CA963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uk-UA"/>
        </w:rPr>
        <w:t>西方制裁迫使俄罗斯供应链重构，中国在部分领域替代潜力显著。乳制品方面，欧盟出口下降60%，中国奶粉、奶酪对俄出口增长80%，但俄消费者偏好欧洲风味，市场接受度仅30%；种业与农资领域，欧美企业退出后，中国蔬菜种子出口增长120%，黑龙江番茄种子占俄远东种植面积的40%；农业机械对俄出口增长220%，但因售后网络薄弱，设备闲置率高达25%。替代性需求受制于标准互认滞后（仅35%中国企业通过俄等效认证）与本土化适配不足（中国农机在俄寒区故障率高18%）。</w:t>
      </w:r>
    </w:p>
    <w:p w14:paraId="787271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i w:val="0"/>
          <w:color w:val="333333"/>
          <w:sz w:val="24"/>
          <w:szCs w:val="24"/>
          <w:lang w:val="en-US" w:eastAsia="zh-CN"/>
        </w:rPr>
      </w:pPr>
    </w:p>
    <w:p w14:paraId="210E4895">
      <w:pPr>
        <w:pStyle w:val="26"/>
        <w:bidi w:val="0"/>
        <w:rPr>
          <w:rFonts w:hint="eastAsia"/>
          <w:lang w:val="en-US" w:eastAsia="zh-CN"/>
        </w:rPr>
      </w:pPr>
      <w:r>
        <w:rPr>
          <w:rFonts w:hint="eastAsia"/>
          <w:lang w:val="en-US" w:eastAsia="zh-CN"/>
        </w:rPr>
        <w:t>表18 西方制裁前后中俄贸易替代率变化</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74"/>
        <w:gridCol w:w="2980"/>
        <w:gridCol w:w="2117"/>
        <w:gridCol w:w="2213"/>
      </w:tblGrid>
      <w:tr w14:paraId="41CE3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3309A7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​​品类​​</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547918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​​欧盟对俄出口变化（2020→2023）​​</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6F111D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​​中国对俄出口变化​​</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4281BC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​​中国替代率​​</w:t>
            </w:r>
          </w:p>
        </w:tc>
      </w:tr>
      <w:tr w14:paraId="0B494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5A55FE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蔬菜</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AB26C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-23%</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4B1F1E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+35%</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6C7763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58%→72%</w:t>
            </w:r>
          </w:p>
        </w:tc>
      </w:tr>
      <w:tr w14:paraId="562CB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E1267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乳制品</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3B6A5D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-60%</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CDB8F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+80%</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698BE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5%→18%</w:t>
            </w:r>
          </w:p>
        </w:tc>
      </w:tr>
      <w:tr w14:paraId="4AD26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1B0952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农业机械</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7E93A3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-70%</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791B90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+220%</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1AD3E3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8%→35%</w:t>
            </w:r>
          </w:p>
        </w:tc>
      </w:tr>
    </w:tbl>
    <w:p w14:paraId="51B503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pPr>
    </w:p>
    <w:p w14:paraId="79A70931">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cs="黑体"/>
          <w:b w:val="0"/>
          <w:bCs/>
          <w:sz w:val="28"/>
          <w:szCs w:val="28"/>
          <w:lang w:val="en-US" w:eastAsia="zh-CN"/>
        </w:rPr>
      </w:pPr>
      <w:bookmarkStart w:id="84" w:name="_Toc10032"/>
      <w:bookmarkStart w:id="85" w:name="_Toc32311"/>
      <w:bookmarkStart w:id="86" w:name="_Toc32070"/>
      <w:r>
        <w:rPr>
          <w:rFonts w:hint="eastAsia" w:ascii="黑体" w:hAnsi="黑体" w:cs="黑体"/>
          <w:b w:val="0"/>
          <w:bCs/>
          <w:sz w:val="28"/>
          <w:szCs w:val="28"/>
          <w:lang w:val="en-US" w:eastAsia="zh-CN"/>
        </w:rPr>
        <w:t xml:space="preserve">5.2  </w:t>
      </w:r>
      <w:bookmarkEnd w:id="84"/>
      <w:bookmarkEnd w:id="85"/>
      <w:r>
        <w:rPr>
          <w:rFonts w:hint="eastAsia" w:ascii="黑体" w:hAnsi="黑体" w:cs="黑体"/>
          <w:b w:val="0"/>
          <w:bCs/>
          <w:sz w:val="28"/>
          <w:szCs w:val="28"/>
          <w:lang w:val="en-US" w:eastAsia="zh-CN"/>
        </w:rPr>
        <w:t>中国出口的潜在增长领域</w:t>
      </w:r>
      <w:bookmarkEnd w:id="86"/>
    </w:p>
    <w:p w14:paraId="0177DC79">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87" w:name="_Toc6469"/>
      <w:bookmarkStart w:id="88" w:name="_Toc25653"/>
      <w:bookmarkStart w:id="89" w:name="_Toc18247"/>
      <w:r>
        <w:rPr>
          <w:rFonts w:hint="eastAsia" w:ascii="Times New Roman" w:hAnsi="Times New Roman" w:eastAsia="黑体" w:cs="Times New Roman"/>
          <w:b w:val="0"/>
          <w:bCs/>
          <w:color w:val="000000"/>
          <w:kern w:val="2"/>
          <w:sz w:val="24"/>
          <w:szCs w:val="24"/>
          <w:lang w:val="en-US" w:eastAsia="zh-CN" w:bidi="ar-SA"/>
        </w:rPr>
        <w:t xml:space="preserve">5.2.1  </w:t>
      </w:r>
      <w:bookmarkEnd w:id="87"/>
      <w:bookmarkEnd w:id="88"/>
      <w:r>
        <w:rPr>
          <w:rFonts w:hint="eastAsia" w:ascii="Times New Roman" w:hAnsi="Times New Roman" w:eastAsia="黑体" w:cs="Times New Roman"/>
          <w:b w:val="0"/>
          <w:bCs/>
          <w:color w:val="000000"/>
          <w:kern w:val="2"/>
          <w:sz w:val="24"/>
          <w:szCs w:val="24"/>
          <w:lang w:val="en-US" w:eastAsia="zh-CN" w:bidi="ar-SA"/>
        </w:rPr>
        <w:t>高附加值农产品出口机会</w:t>
      </w:r>
      <w:bookmarkEnd w:id="89"/>
    </w:p>
    <w:p w14:paraId="100969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中国对俄高附加值农产品出口呈现结构性增长机遇，深加工食品、有机认证品类与预制菜是核心领域。深加工食品方面，2023年速冻水饺、包子等品类出口额达12亿美元，同比增长37%，莫斯科商超渗透率提升至15%，单价较初级农产品高3.5倍，主要依托“海外仓+冷链”模式降低损耗率至5%以下。有机认证品类需求旺盛，黑龙江有机大豆和云南野生菌菇通过欧盟与俄罗斯双认证，出口单价分别达普通产品的2.2倍和4.8倍，2023年对俄出口量增长50%，但认证壁垒导致中小企业退货率高达15%。预制菜赛道快速崛起，中式菜品经本土化改良（如降低辣度、适配俄式奶油风味）后，对俄餐饮企业供应量增长55%，然而冷链配送成本占售价的30%，限制利润率提升。技术瓶颈仍是主要挑战，仅20%的中国企业通过俄罗斯有机认证，中粮、北大荒等头部企业占据90%的高端市场份额，中小企业需加速技术升级与认证投入以突破溢价天花板。</w:t>
      </w:r>
    </w:p>
    <w:p w14:paraId="63D09DD4">
      <w:pPr>
        <w:pStyle w:val="26"/>
        <w:bidi w:val="0"/>
        <w:rPr>
          <w:rFonts w:ascii="Segoe UI" w:hAnsi="Segoe UI" w:eastAsia="Segoe UI" w:cs="Segoe UI"/>
          <w:b/>
          <w:bCs/>
          <w:i w:val="0"/>
          <w:iCs w:val="0"/>
          <w:caps w:val="0"/>
          <w:spacing w:val="0"/>
          <w:szCs w:val="27"/>
        </w:rPr>
      </w:pPr>
      <w:r>
        <w:rPr>
          <w:rFonts w:hint="default"/>
        </w:rPr>
        <w:t>表</w:t>
      </w:r>
      <w:r>
        <w:rPr>
          <w:rFonts w:hint="eastAsia"/>
          <w:lang w:val="en-US" w:eastAsia="zh-CN"/>
        </w:rPr>
        <w:t>19</w:t>
      </w:r>
      <w:r>
        <w:rPr>
          <w:rFonts w:hint="default"/>
        </w:rPr>
        <w:t xml:space="preserve"> 高附加值农产品出口表现（2023年）</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6"/>
        <w:gridCol w:w="2990"/>
        <w:gridCol w:w="1737"/>
        <w:gridCol w:w="2521"/>
      </w:tblGrid>
      <w:tr w14:paraId="50216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6402026A">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​品类​</w:t>
            </w:r>
            <w:r>
              <w:rPr>
                <w:rFonts w:hint="default" w:ascii="Segoe UI" w:hAnsi="Segoe UI" w:eastAsia="Segoe UI" w:cs="Segoe UI"/>
                <w:b w:val="0"/>
                <w:bCs/>
                <w:color w:val="00000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11E795B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​出口额（亿美元）​</w:t>
            </w:r>
            <w:r>
              <w:rPr>
                <w:rFonts w:hint="default" w:ascii="Segoe UI" w:hAnsi="Segoe UI" w:eastAsia="Segoe UI" w:cs="Segoe UI"/>
                <w:b w:val="0"/>
                <w:bCs/>
                <w:color w:val="00000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4BD2D4D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​增速​</w:t>
            </w:r>
            <w:r>
              <w:rPr>
                <w:rFonts w:hint="default" w:ascii="Segoe UI" w:hAnsi="Segoe UI" w:eastAsia="Segoe UI" w:cs="Segoe UI"/>
                <w:b w:val="0"/>
                <w:bCs/>
                <w:color w:val="00000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0A92CB04">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​溢价水平​</w:t>
            </w:r>
            <w:r>
              <w:rPr>
                <w:rFonts w:hint="default" w:ascii="Segoe UI" w:hAnsi="Segoe UI" w:eastAsia="Segoe UI" w:cs="Segoe UI"/>
                <w:b w:val="0"/>
                <w:bCs/>
                <w:color w:val="000000"/>
                <w:kern w:val="0"/>
                <w:sz w:val="21"/>
                <w:szCs w:val="21"/>
                <w:lang w:val="en-US" w:eastAsia="zh-CN" w:bidi="ar"/>
              </w:rPr>
              <w:t>​</w:t>
            </w:r>
          </w:p>
        </w:tc>
      </w:tr>
      <w:tr w14:paraId="1864D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7DC7141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速冻食品</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4363B79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12</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046C7358">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+37%</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4701073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单价为初级品3.5倍</w:t>
            </w:r>
          </w:p>
        </w:tc>
      </w:tr>
      <w:tr w14:paraId="37213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C07ED7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有机大豆</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C7AA59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3.5</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53BD4C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+50%</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C1AF74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单价为普通品2.2倍</w:t>
            </w:r>
          </w:p>
        </w:tc>
      </w:tr>
      <w:tr w14:paraId="54E1D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6BE145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预制菜</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4298E40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8.2</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5390296D">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+55%</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4138329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损耗率从12%降至5%</w:t>
            </w:r>
          </w:p>
        </w:tc>
      </w:tr>
    </w:tbl>
    <w:p w14:paraId="346DE7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pPr>
    </w:p>
    <w:p w14:paraId="2123008D">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90" w:name="_Toc25527"/>
      <w:bookmarkStart w:id="91" w:name="_Toc9161"/>
      <w:bookmarkStart w:id="92" w:name="_Toc17527"/>
      <w:r>
        <w:rPr>
          <w:rFonts w:hint="eastAsia" w:ascii="Times New Roman" w:hAnsi="Times New Roman" w:eastAsia="黑体" w:cs="Times New Roman"/>
          <w:b w:val="0"/>
          <w:bCs/>
          <w:color w:val="000000"/>
          <w:kern w:val="2"/>
          <w:sz w:val="24"/>
          <w:szCs w:val="24"/>
          <w:lang w:val="en-US" w:eastAsia="zh-CN" w:bidi="ar-SA"/>
        </w:rPr>
        <w:t xml:space="preserve">5.2.2  </w:t>
      </w:r>
      <w:bookmarkEnd w:id="90"/>
      <w:bookmarkEnd w:id="91"/>
      <w:r>
        <w:rPr>
          <w:rFonts w:hint="eastAsia" w:ascii="Times New Roman" w:hAnsi="Times New Roman" w:eastAsia="黑体" w:cs="Times New Roman"/>
          <w:b w:val="0"/>
          <w:bCs/>
          <w:color w:val="000000"/>
          <w:kern w:val="2"/>
          <w:sz w:val="24"/>
          <w:szCs w:val="24"/>
          <w:lang w:val="en-US" w:eastAsia="zh-CN" w:bidi="ar-SA"/>
        </w:rPr>
        <w:t>区域市场差异化布局</w:t>
      </w:r>
      <w:bookmarkEnd w:id="92"/>
    </w:p>
    <w:p w14:paraId="67A7DC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俄罗斯市场内部需求分层显著，需针对欧洲部分、远东地区及乌拉尔-西伯利亚三大区域制定差异化策略。欧洲部分以莫斯科、圣彼得堡为核心，高收入群体集中，偏好单价超15元/公斤的有机蔬菜与精品水果，2023年中国通过空运直供车厘子、蓝莓等品类占比提升至30%，但物流成本占售价40%，需依托莫斯科海外仓（10万吨容量）实现“次日达”降本。远东地区价格敏感度高，洋葱、土豆等传统品类占需求70%，黑龙江边境仓通过“今日达”服务覆盖200公里半径，运输成本较跨区配送低60%，2023年绥芬河口岸日均出口量超500吨。乌拉尔及西伯利亚中端市场主导，速冻水饺、罐头等深加工食品需求增速达25%，中欧班列冷链专列将运输时效压缩至12天，推动山东寿光反季节番茄占远东进口量的42%。浙江义乌整合“市场采购+跨境电商”模式，对俄坚果、干果出口增长60%，但内陆省份（如河南、新疆）因物流短板参与度不足5%，需加强中欧班列内陆节点建设。</w:t>
      </w:r>
    </w:p>
    <w:p w14:paraId="5BDE6FCF">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93" w:name="_Toc834"/>
      <w:r>
        <w:rPr>
          <w:rFonts w:hint="eastAsia" w:ascii="Times New Roman" w:hAnsi="Times New Roman" w:eastAsia="黑体" w:cs="Times New Roman"/>
          <w:b w:val="0"/>
          <w:bCs/>
          <w:color w:val="000000"/>
          <w:kern w:val="2"/>
          <w:sz w:val="24"/>
          <w:szCs w:val="24"/>
          <w:lang w:val="en-US" w:eastAsia="zh-CN" w:bidi="ar-SA"/>
        </w:rPr>
        <w:t>5.2.3  技术赋能出口</w:t>
      </w:r>
      <w:bookmarkEnd w:id="93"/>
    </w:p>
    <w:p w14:paraId="3F2DD6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随技术创新正系统性提升中国农产品出口效率与市场渗透能力。数字化供应链方面，阿里巴巴国际站通过大数据分析俄消费者趋势，动态调整品类结构，2023年定制化农产品出口增长45%，退货率从18%降至3%，但仅20%中小企业接入数字化工具，80%依赖传统贸易商导致信息滞后。区块链技术应用于全链溯源，中粮集团试点大豆“种植-加工-物流”区块链追踪，EAC认证周期从90天缩短至63天，俄渠道商采购意愿提升40%。智能通关技术大幅压缩边境时效，绥芬河口岸AI审单系统将农产品通关时长从48小时压至8小时，日均放行量提升至1.5万吨，但俄方口岸信息化水平滞后，双方系统对接不畅导致30%货物仍需人工核验。农业机械化与智慧种植技术亦成突破口，山东寿光智能温室将番茄单位产量提升至俄露天种植的4.2倍，但设备对俄寒区适应性不足，故障率较欧洲品牌高18%，需联合研发适寒技术以巩固市场份额。</w:t>
      </w:r>
    </w:p>
    <w:p w14:paraId="46332611">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cs="黑体"/>
          <w:b w:val="0"/>
          <w:bCs/>
          <w:sz w:val="28"/>
          <w:szCs w:val="28"/>
          <w:lang w:val="en-US" w:eastAsia="zh-CN"/>
        </w:rPr>
      </w:pPr>
      <w:bookmarkStart w:id="94" w:name="_Toc3068"/>
      <w:r>
        <w:rPr>
          <w:rFonts w:hint="eastAsia" w:ascii="黑体" w:hAnsi="黑体" w:cs="黑体"/>
          <w:b w:val="0"/>
          <w:bCs/>
          <w:sz w:val="28"/>
          <w:szCs w:val="28"/>
          <w:lang w:val="en-US" w:eastAsia="zh-CN"/>
        </w:rPr>
        <w:t>5.3  未来出口趋势预测与情景模拟</w:t>
      </w:r>
      <w:bookmarkEnd w:id="94"/>
    </w:p>
    <w:p w14:paraId="69A80B53">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95" w:name="_Toc10732"/>
      <w:r>
        <w:rPr>
          <w:rFonts w:hint="eastAsia" w:ascii="Times New Roman" w:hAnsi="Times New Roman" w:eastAsia="黑体" w:cs="Times New Roman"/>
          <w:b w:val="0"/>
          <w:bCs/>
          <w:color w:val="000000"/>
          <w:kern w:val="2"/>
          <w:sz w:val="24"/>
          <w:szCs w:val="24"/>
          <w:lang w:val="en-US" w:eastAsia="zh-CN" w:bidi="ar-SA"/>
        </w:rPr>
        <w:t>5.3.1  短期趋势</w:t>
      </w:r>
      <w:bookmarkEnd w:id="95"/>
    </w:p>
    <w:p w14:paraId="4883C8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当未来三年，中国对俄农产品出口将呈现“量增质升、局部突破”的特征。量增源于俄罗斯进口替代政策的持续深化，预计蔬菜进口依赖度将从55%升至60%，中国对俄番茄、洋葱出口量年均增长15%-20%，填补欧盟退出后的市场空缺。质升则依托高附加值品类扩张，深加工食品出口额预计从202</w:t>
      </w:r>
      <w:r>
        <w:rPr>
          <w:rFonts w:hint="eastAsia" w:ascii="宋体" w:hAnsi="宋体" w:eastAsia="宋体" w:cs="宋体"/>
          <w:b w:val="0"/>
          <w:i w:val="0"/>
          <w:color w:val="333333"/>
          <w:sz w:val="24"/>
          <w:szCs w:val="24"/>
          <w:lang w:val="en-US" w:eastAsia="zh-CN"/>
        </w:rPr>
        <w:t>5</w:t>
      </w:r>
      <w:r>
        <w:rPr>
          <w:rFonts w:hint="default" w:ascii="宋体" w:hAnsi="宋体" w:eastAsia="宋体" w:cs="宋体"/>
          <w:b w:val="0"/>
          <w:i w:val="0"/>
          <w:color w:val="333333"/>
          <w:sz w:val="24"/>
          <w:szCs w:val="24"/>
          <w:lang w:val="en-US" w:eastAsia="uk-UA"/>
        </w:rPr>
        <w:t>年的12亿美元增至202</w:t>
      </w:r>
      <w:r>
        <w:rPr>
          <w:rFonts w:hint="eastAsia" w:ascii="宋体" w:hAnsi="宋体" w:eastAsia="宋体" w:cs="宋体"/>
          <w:b w:val="0"/>
          <w:i w:val="0"/>
          <w:color w:val="333333"/>
          <w:sz w:val="24"/>
          <w:szCs w:val="24"/>
          <w:lang w:val="en-US" w:eastAsia="zh-CN"/>
        </w:rPr>
        <w:t>8</w:t>
      </w:r>
      <w:r>
        <w:rPr>
          <w:rFonts w:hint="default" w:ascii="宋体" w:hAnsi="宋体" w:eastAsia="宋体" w:cs="宋体"/>
          <w:b w:val="0"/>
          <w:i w:val="0"/>
          <w:color w:val="333333"/>
          <w:sz w:val="24"/>
          <w:szCs w:val="24"/>
          <w:lang w:val="en-US" w:eastAsia="uk-UA"/>
        </w:rPr>
        <w:t>年的22亿美元，年均增速超25%，其中预制菜因俄快餐业扩张（年均门店增长12%），出口占比提升至30%。</w:t>
      </w:r>
    </w:p>
    <w:p w14:paraId="2CA1B5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短期瓶颈集中在物流与政策层面</w:t>
      </w:r>
      <w:r>
        <w:rPr>
          <w:rFonts w:hint="eastAsia" w:ascii="宋体" w:hAnsi="宋体" w:eastAsia="宋体" w:cs="宋体"/>
          <w:b w:val="0"/>
          <w:i w:val="0"/>
          <w:color w:val="333333"/>
          <w:sz w:val="24"/>
          <w:szCs w:val="24"/>
          <w:lang w:val="en-US" w:eastAsia="zh-CN"/>
        </w:rPr>
        <w:t>。</w:t>
      </w:r>
      <w:r>
        <w:rPr>
          <w:rFonts w:hint="default" w:ascii="宋体" w:hAnsi="宋体" w:eastAsia="宋体" w:cs="宋体"/>
          <w:b w:val="0"/>
          <w:i w:val="0"/>
          <w:color w:val="333333"/>
          <w:sz w:val="24"/>
          <w:szCs w:val="24"/>
          <w:lang w:val="en-US" w:eastAsia="uk-UA"/>
        </w:rPr>
        <w:t>物流效率</w:t>
      </w:r>
      <w:r>
        <w:rPr>
          <w:rFonts w:hint="eastAsia" w:ascii="宋体" w:hAnsi="宋体" w:eastAsia="宋体" w:cs="宋体"/>
          <w:b w:val="0"/>
          <w:i w:val="0"/>
          <w:color w:val="333333"/>
          <w:sz w:val="24"/>
          <w:szCs w:val="24"/>
          <w:lang w:val="en-US" w:eastAsia="zh-CN"/>
        </w:rPr>
        <w:t>在</w:t>
      </w:r>
      <w:r>
        <w:rPr>
          <w:rFonts w:hint="default" w:ascii="宋体" w:hAnsi="宋体" w:eastAsia="宋体" w:cs="宋体"/>
          <w:b w:val="0"/>
          <w:i w:val="0"/>
          <w:color w:val="333333"/>
          <w:sz w:val="24"/>
          <w:szCs w:val="24"/>
          <w:lang w:val="en-US" w:eastAsia="uk-UA"/>
        </w:rPr>
        <w:t>中俄边境冷链仓储缺口40万吨的现状难以根本改善，202</w:t>
      </w:r>
      <w:r>
        <w:rPr>
          <w:rFonts w:hint="eastAsia" w:ascii="宋体" w:hAnsi="宋体" w:eastAsia="宋体" w:cs="宋体"/>
          <w:b w:val="0"/>
          <w:i w:val="0"/>
          <w:color w:val="333333"/>
          <w:sz w:val="24"/>
          <w:szCs w:val="24"/>
          <w:lang w:val="en-US" w:eastAsia="zh-CN"/>
        </w:rPr>
        <w:t>5</w:t>
      </w:r>
      <w:r>
        <w:rPr>
          <w:rFonts w:hint="default" w:ascii="宋体" w:hAnsi="宋体" w:eastAsia="宋体" w:cs="宋体"/>
          <w:b w:val="0"/>
          <w:i w:val="0"/>
          <w:color w:val="333333"/>
          <w:sz w:val="24"/>
          <w:szCs w:val="24"/>
          <w:lang w:val="en-US" w:eastAsia="uk-UA"/>
        </w:rPr>
        <w:t>年果蔬损耗率仍将维持在15%-18%，直至202</w:t>
      </w:r>
      <w:r>
        <w:rPr>
          <w:rFonts w:hint="eastAsia" w:ascii="宋体" w:hAnsi="宋体" w:eastAsia="宋体" w:cs="宋体"/>
          <w:b w:val="0"/>
          <w:i w:val="0"/>
          <w:color w:val="333333"/>
          <w:sz w:val="24"/>
          <w:szCs w:val="24"/>
          <w:lang w:val="en-US" w:eastAsia="zh-CN"/>
        </w:rPr>
        <w:t>6</w:t>
      </w:r>
      <w:r>
        <w:rPr>
          <w:rFonts w:hint="default" w:ascii="宋体" w:hAnsi="宋体" w:eastAsia="宋体" w:cs="宋体"/>
          <w:b w:val="0"/>
          <w:i w:val="0"/>
          <w:color w:val="333333"/>
          <w:sz w:val="24"/>
          <w:szCs w:val="24"/>
          <w:lang w:val="en-US" w:eastAsia="uk-UA"/>
        </w:rPr>
        <w:t>年黑龙江自贸区新增20万吨冷库投运；</w:t>
      </w:r>
      <w:r>
        <w:rPr>
          <w:rFonts w:hint="eastAsia" w:ascii="宋体" w:hAnsi="宋体" w:eastAsia="宋体" w:cs="宋体"/>
          <w:b w:val="0"/>
          <w:i w:val="0"/>
          <w:color w:val="333333"/>
          <w:sz w:val="24"/>
          <w:szCs w:val="24"/>
          <w:lang w:val="en-US" w:eastAsia="zh-CN"/>
        </w:rPr>
        <w:t>对于</w:t>
      </w:r>
      <w:r>
        <w:rPr>
          <w:rFonts w:hint="default" w:ascii="宋体" w:hAnsi="宋体" w:eastAsia="宋体" w:cs="宋体"/>
          <w:b w:val="0"/>
          <w:i w:val="0"/>
          <w:color w:val="333333"/>
          <w:sz w:val="24"/>
          <w:szCs w:val="24"/>
          <w:lang w:val="en-US" w:eastAsia="uk-UA"/>
        </w:rPr>
        <w:t>政策风险</w:t>
      </w:r>
      <w:r>
        <w:rPr>
          <w:rFonts w:hint="eastAsia" w:ascii="宋体" w:hAnsi="宋体" w:eastAsia="宋体" w:cs="宋体"/>
          <w:b w:val="0"/>
          <w:i w:val="0"/>
          <w:color w:val="333333"/>
          <w:sz w:val="24"/>
          <w:szCs w:val="24"/>
          <w:lang w:val="en-US" w:eastAsia="zh-CN"/>
        </w:rPr>
        <w:t>部分，</w:t>
      </w:r>
      <w:r>
        <w:rPr>
          <w:rFonts w:hint="default" w:ascii="宋体" w:hAnsi="宋体" w:eastAsia="宋体" w:cs="宋体"/>
          <w:b w:val="0"/>
          <w:i w:val="0"/>
          <w:color w:val="333333"/>
          <w:sz w:val="24"/>
          <w:szCs w:val="24"/>
          <w:lang w:val="en-US" w:eastAsia="uk-UA"/>
        </w:rPr>
        <w:t>俄罗斯可能进一步下调农产品进口配额（如小麦配额从300万吨缩至250万吨），叠加卢布汇率波动率维持25%-30%，企业汇兑损失压力持续。</w:t>
      </w:r>
    </w:p>
    <w:p w14:paraId="3D1AF6A9">
      <w:pPr>
        <w:pStyle w:val="26"/>
        <w:bidi w:val="0"/>
      </w:pPr>
      <w:r>
        <w:rPr>
          <w:rFonts w:hint="default"/>
        </w:rPr>
        <w:t>表</w:t>
      </w:r>
      <w:r>
        <w:rPr>
          <w:rFonts w:hint="eastAsia"/>
          <w:lang w:val="en-US" w:eastAsia="zh-CN"/>
        </w:rPr>
        <w:t>20</w:t>
      </w:r>
      <w:r>
        <w:rPr>
          <w:rFonts w:hint="default"/>
        </w:rPr>
        <w:t xml:space="preserve"> 短期出口预测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986"/>
        <w:gridCol w:w="1974"/>
        <w:gridCol w:w="1974"/>
        <w:gridCol w:w="2050"/>
      </w:tblGrid>
      <w:tr w14:paraId="67126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7CC2A642">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​指标​</w:t>
            </w:r>
            <w:r>
              <w:rPr>
                <w:rFonts w:hint="default" w:ascii="Segoe UI" w:hAnsi="Segoe UI" w:eastAsia="Segoe UI" w:cs="Segoe UI"/>
                <w:b w:val="0"/>
                <w:bCs/>
                <w:color w:val="00000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6217484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​202</w:t>
            </w:r>
            <w:r>
              <w:rPr>
                <w:rStyle w:val="18"/>
                <w:rFonts w:hint="eastAsia" w:ascii="Segoe UI" w:hAnsi="Segoe UI" w:eastAsia="Segoe UI" w:cs="Segoe UI"/>
                <w:b w:val="0"/>
                <w:bCs/>
                <w:color w:val="000000"/>
                <w:kern w:val="0"/>
                <w:sz w:val="21"/>
                <w:szCs w:val="21"/>
                <w:vertAlign w:val="baseline"/>
                <w:lang w:val="en-US" w:eastAsia="zh-CN" w:bidi="ar"/>
              </w:rPr>
              <w:t>5</w:t>
            </w:r>
            <w:r>
              <w:rPr>
                <w:rStyle w:val="18"/>
                <w:rFonts w:hint="default" w:ascii="Segoe UI" w:hAnsi="Segoe UI" w:eastAsia="Segoe UI" w:cs="Segoe UI"/>
                <w:b w:val="0"/>
                <w:bCs/>
                <w:color w:val="000000"/>
                <w:kern w:val="0"/>
                <w:sz w:val="21"/>
                <w:szCs w:val="21"/>
                <w:vertAlign w:val="baseline"/>
                <w:lang w:val="en-US" w:eastAsia="zh-CN" w:bidi="ar"/>
              </w:rPr>
              <w:t>年​</w:t>
            </w:r>
            <w:r>
              <w:rPr>
                <w:rFonts w:hint="default" w:ascii="Segoe UI" w:hAnsi="Segoe UI" w:eastAsia="Segoe UI" w:cs="Segoe UI"/>
                <w:b w:val="0"/>
                <w:bCs/>
                <w:color w:val="00000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0000D39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​202</w:t>
            </w:r>
            <w:r>
              <w:rPr>
                <w:rStyle w:val="18"/>
                <w:rFonts w:hint="eastAsia" w:ascii="Segoe UI" w:hAnsi="Segoe UI" w:eastAsia="Segoe UI" w:cs="Segoe UI"/>
                <w:b w:val="0"/>
                <w:bCs/>
                <w:color w:val="000000"/>
                <w:kern w:val="0"/>
                <w:sz w:val="21"/>
                <w:szCs w:val="21"/>
                <w:vertAlign w:val="baseline"/>
                <w:lang w:val="en-US" w:eastAsia="zh-CN" w:bidi="ar"/>
              </w:rPr>
              <w:t>8</w:t>
            </w:r>
            <w:r>
              <w:rPr>
                <w:rStyle w:val="18"/>
                <w:rFonts w:hint="default" w:ascii="Segoe UI" w:hAnsi="Segoe UI" w:eastAsia="Segoe UI" w:cs="Segoe UI"/>
                <w:b w:val="0"/>
                <w:bCs/>
                <w:color w:val="000000"/>
                <w:kern w:val="0"/>
                <w:sz w:val="21"/>
                <w:szCs w:val="21"/>
                <w:vertAlign w:val="baseline"/>
                <w:lang w:val="en-US" w:eastAsia="zh-CN" w:bidi="ar"/>
              </w:rPr>
              <w:t>年​</w:t>
            </w:r>
            <w:r>
              <w:rPr>
                <w:rFonts w:hint="default" w:ascii="Segoe UI" w:hAnsi="Segoe UI" w:eastAsia="Segoe UI" w:cs="Segoe UI"/>
                <w:b w:val="0"/>
                <w:bCs/>
                <w:color w:val="00000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4FB5DE1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​年均增速​</w:t>
            </w:r>
            <w:r>
              <w:rPr>
                <w:rFonts w:hint="default" w:ascii="Segoe UI" w:hAnsi="Segoe UI" w:eastAsia="Segoe UI" w:cs="Segoe UI"/>
                <w:b w:val="0"/>
                <w:bCs/>
                <w:color w:val="000000"/>
                <w:kern w:val="0"/>
                <w:sz w:val="21"/>
                <w:szCs w:val="21"/>
                <w:lang w:val="en-US" w:eastAsia="zh-CN" w:bidi="ar"/>
              </w:rPr>
              <w:t>​</w:t>
            </w:r>
          </w:p>
        </w:tc>
      </w:tr>
      <w:tr w14:paraId="2ADC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69B9F03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蔬菜出口量（万吨）</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70E016F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450</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F7A583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620</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1AF9F95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+15%</w:t>
            </w:r>
          </w:p>
        </w:tc>
      </w:tr>
      <w:tr w14:paraId="28F93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D1DC55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深加工食品出口额（亿美元）</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DECAA82">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15</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4CD4013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22</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616BB9D">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+25%</w:t>
            </w:r>
          </w:p>
        </w:tc>
      </w:tr>
      <w:tr w14:paraId="7219B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16E23DDB">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冷链仓储缺口（万吨）</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18EB723E">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35</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1F4114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20</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FE120E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-23%</w:t>
            </w:r>
          </w:p>
        </w:tc>
      </w:tr>
    </w:tbl>
    <w:p w14:paraId="5606A7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pPr>
    </w:p>
    <w:p w14:paraId="32CC6B31">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96" w:name="_Toc20848"/>
      <w:r>
        <w:rPr>
          <w:rFonts w:hint="eastAsia" w:ascii="Times New Roman" w:hAnsi="Times New Roman" w:eastAsia="黑体" w:cs="Times New Roman"/>
          <w:b w:val="0"/>
          <w:bCs/>
          <w:color w:val="000000"/>
          <w:kern w:val="2"/>
          <w:sz w:val="24"/>
          <w:szCs w:val="24"/>
          <w:lang w:val="en-US" w:eastAsia="zh-CN" w:bidi="ar-SA"/>
        </w:rPr>
        <w:t>5.3.2  长期趋势</w:t>
      </w:r>
      <w:bookmarkEnd w:id="96"/>
    </w:p>
    <w:p w14:paraId="78E7CC7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随长期来看，中俄农产品贸易将向“技术驱动、全域协同”转型。技术驱动​​体现为全产业链数字化：区块链溯源覆盖80%的出口品类，认证周期从60天压缩至30天；智能农机（如无人收割机）对俄出口占比提升至40%，但因寒区适应性研发滞后，设备闲置率仍达15%。全域协同则依托“一带一路”基建升级，中欧班列冷链专列开行量从2023年的120列增至500列，运输成本降低30%，莫斯科、新西伯利亚等海外仓网络覆盖俄全境，次日达服务渗透率超60%。</w:t>
      </w:r>
    </w:p>
    <w:p w14:paraId="01DC5E3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eastAsia" w:ascii="宋体" w:hAnsi="宋体" w:eastAsia="宋体" w:cs="宋体"/>
          <w:b w:val="0"/>
          <w:i w:val="0"/>
          <w:color w:val="333333"/>
          <w:sz w:val="24"/>
          <w:szCs w:val="24"/>
          <w:lang w:val="en-US" w:eastAsia="zh-CN"/>
        </w:rPr>
        <w:t>但是</w:t>
      </w:r>
      <w:r>
        <w:rPr>
          <w:rFonts w:hint="default" w:ascii="宋体" w:hAnsi="宋体" w:eastAsia="宋体" w:cs="宋体"/>
          <w:b w:val="0"/>
          <w:i w:val="0"/>
          <w:color w:val="333333"/>
          <w:sz w:val="24"/>
          <w:szCs w:val="24"/>
          <w:lang w:val="en-US" w:eastAsia="uk-UA"/>
        </w:rPr>
        <w:t>结构性风险不容忽视</w:t>
      </w:r>
      <w:r>
        <w:rPr>
          <w:rFonts w:hint="eastAsia" w:ascii="宋体" w:hAnsi="宋体" w:eastAsia="宋体" w:cs="宋体"/>
          <w:b w:val="0"/>
          <w:i w:val="0"/>
          <w:color w:val="333333"/>
          <w:sz w:val="24"/>
          <w:szCs w:val="24"/>
          <w:lang w:val="en-US" w:eastAsia="zh-CN"/>
        </w:rPr>
        <w:t>。</w:t>
      </w:r>
      <w:r>
        <w:rPr>
          <w:rFonts w:hint="default" w:ascii="宋体" w:hAnsi="宋体" w:eastAsia="宋体" w:cs="宋体"/>
          <w:b w:val="0"/>
          <w:i w:val="0"/>
          <w:color w:val="333333"/>
          <w:sz w:val="24"/>
          <w:szCs w:val="24"/>
          <w:lang w:val="en-US" w:eastAsia="uk-UA"/>
        </w:rPr>
        <w:t>俄罗斯自给率提升</w:t>
      </w:r>
      <w:r>
        <w:rPr>
          <w:rFonts w:hint="eastAsia" w:ascii="宋体" w:hAnsi="宋体" w:eastAsia="宋体" w:cs="宋体"/>
          <w:b w:val="0"/>
          <w:i w:val="0"/>
          <w:color w:val="333333"/>
          <w:sz w:val="24"/>
          <w:szCs w:val="24"/>
          <w:lang w:val="en-US" w:eastAsia="zh-CN"/>
        </w:rPr>
        <w:t>在</w:t>
      </w:r>
      <w:r>
        <w:rPr>
          <w:rFonts w:hint="default" w:ascii="宋体" w:hAnsi="宋体" w:eastAsia="宋体" w:cs="宋体"/>
          <w:b w:val="0"/>
          <w:i w:val="0"/>
          <w:color w:val="333333"/>
          <w:sz w:val="24"/>
          <w:szCs w:val="24"/>
          <w:lang w:val="en-US" w:eastAsia="uk-UA"/>
        </w:rPr>
        <w:t>2030年俄蔬菜自给率目标为60%，中国对俄番茄出口可能从峰值620万吨（2026年）回落至500万吨（2030年）；替代市场竞争</w:t>
      </w:r>
      <w:r>
        <w:rPr>
          <w:rFonts w:hint="eastAsia" w:ascii="宋体" w:hAnsi="宋体" w:eastAsia="宋体" w:cs="宋体"/>
          <w:b w:val="0"/>
          <w:i w:val="0"/>
          <w:color w:val="333333"/>
          <w:sz w:val="24"/>
          <w:szCs w:val="24"/>
          <w:lang w:val="en-US" w:eastAsia="zh-CN"/>
        </w:rPr>
        <w:t>有</w:t>
      </w:r>
      <w:r>
        <w:rPr>
          <w:rFonts w:hint="default" w:ascii="宋体" w:hAnsi="宋体" w:eastAsia="宋体" w:cs="宋体"/>
          <w:b w:val="0"/>
          <w:i w:val="0"/>
          <w:color w:val="333333"/>
          <w:sz w:val="24"/>
          <w:szCs w:val="24"/>
          <w:lang w:val="en-US" w:eastAsia="uk-UA"/>
        </w:rPr>
        <w:t>土耳其、伊朗通过低价策略抢占俄水果市场，中国苹果出口份额或从42%降至35%。</w:t>
      </w:r>
    </w:p>
    <w:p w14:paraId="0D503291">
      <w:pPr>
        <w:pStyle w:val="26"/>
        <w:bidi w:val="0"/>
      </w:pPr>
      <w:r>
        <w:rPr>
          <w:rFonts w:hint="default"/>
        </w:rPr>
        <w:t>表2</w:t>
      </w:r>
      <w:r>
        <w:rPr>
          <w:rFonts w:hint="eastAsia"/>
          <w:lang w:val="en-US" w:eastAsia="zh-CN"/>
        </w:rPr>
        <w:t>1</w:t>
      </w:r>
      <w:r>
        <w:rPr>
          <w:rFonts w:hint="default"/>
        </w:rPr>
        <w:t xml:space="preserve"> 长期出口情景模拟（2030年基准）</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70"/>
        <w:gridCol w:w="2160"/>
        <w:gridCol w:w="2160"/>
        <w:gridCol w:w="2160"/>
      </w:tblGrid>
      <w:tr w14:paraId="47A10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180" w:type="dxa"/>
              <w:left w:w="240" w:type="dxa"/>
              <w:bottom w:w="180" w:type="dxa"/>
              <w:right w:w="240" w:type="dxa"/>
            </w:tcMar>
            <w:vAlign w:val="center"/>
          </w:tcPr>
          <w:p w14:paraId="0F2511CF">
            <w:pPr>
              <w:keepNext w:val="0"/>
              <w:keepLines w:val="0"/>
              <w:widowControl/>
              <w:suppressLineNumbers w:val="0"/>
              <w:spacing w:before="0" w:beforeAutospacing="0" w:after="0" w:afterAutospacing="0" w:line="24" w:lineRule="atLeast"/>
              <w:ind w:left="0" w:right="0"/>
              <w:jc w:val="center"/>
              <w:textAlignment w:val="center"/>
              <w:rPr>
                <w:rFonts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​指标​</w:t>
            </w:r>
            <w:r>
              <w:rPr>
                <w:rFonts w:hint="default" w:ascii="Segoe UI" w:hAnsi="Segoe UI" w:eastAsia="Segoe UI" w:cs="Segoe UI"/>
                <w:b w:val="0"/>
                <w:bCs/>
                <w:color w:val="00000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551D07D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​乐观情景​</w:t>
            </w:r>
            <w:r>
              <w:rPr>
                <w:rFonts w:hint="default" w:ascii="Segoe UI" w:hAnsi="Segoe UI" w:eastAsia="Segoe UI" w:cs="Segoe UI"/>
                <w:b w:val="0"/>
                <w:bCs/>
                <w:color w:val="00000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57ADA15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​中性情景​</w:t>
            </w:r>
            <w:r>
              <w:rPr>
                <w:rFonts w:hint="default" w:ascii="Segoe UI" w:hAnsi="Segoe UI" w:eastAsia="Segoe UI" w:cs="Segoe UI"/>
                <w:b w:val="0"/>
                <w:bCs/>
                <w:color w:val="000000"/>
                <w:kern w:val="0"/>
                <w:sz w:val="21"/>
                <w:szCs w:val="21"/>
                <w:lang w:val="en-US" w:eastAsia="zh-CN" w:bidi="ar"/>
              </w:rPr>
              <w:t>​</w:t>
            </w:r>
          </w:p>
        </w:tc>
        <w:tc>
          <w:tcPr>
            <w:tcW w:w="0" w:type="auto"/>
            <w:tcBorders>
              <w:top w:val="single" w:color="000000" w:sz="12" w:space="0"/>
              <w:left w:val="nil"/>
              <w:bottom w:val="single" w:color="000000" w:sz="4" w:space="0"/>
              <w:right w:val="nil"/>
            </w:tcBorders>
            <w:shd w:val="clear" w:color="auto" w:fill="FFFFFF"/>
            <w:tcMar>
              <w:top w:w="180" w:type="dxa"/>
              <w:left w:w="240" w:type="dxa"/>
              <w:bottom w:w="180" w:type="dxa"/>
              <w:right w:w="240" w:type="dxa"/>
            </w:tcMar>
            <w:vAlign w:val="center"/>
          </w:tcPr>
          <w:p w14:paraId="36CB31F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bCs/>
                <w:color w:val="000000"/>
                <w:sz w:val="21"/>
                <w:szCs w:val="21"/>
              </w:rPr>
            </w:pPr>
            <w:r>
              <w:rPr>
                <w:rFonts w:hint="default" w:ascii="Segoe UI" w:hAnsi="Segoe UI" w:eastAsia="Segoe UI" w:cs="Segoe UI"/>
                <w:b w:val="0"/>
                <w:bCs/>
                <w:color w:val="000000"/>
                <w:kern w:val="0"/>
                <w:sz w:val="21"/>
                <w:szCs w:val="21"/>
                <w:lang w:val="en-US" w:eastAsia="zh-CN" w:bidi="ar"/>
              </w:rPr>
              <w:t>​</w:t>
            </w:r>
            <w:r>
              <w:rPr>
                <w:rStyle w:val="18"/>
                <w:rFonts w:hint="default" w:ascii="Segoe UI" w:hAnsi="Segoe UI" w:eastAsia="Segoe UI" w:cs="Segoe UI"/>
                <w:b w:val="0"/>
                <w:bCs/>
                <w:color w:val="000000"/>
                <w:kern w:val="0"/>
                <w:sz w:val="21"/>
                <w:szCs w:val="21"/>
                <w:vertAlign w:val="baseline"/>
                <w:lang w:val="en-US" w:eastAsia="zh-CN" w:bidi="ar"/>
              </w:rPr>
              <w:t>​悲观情景​</w:t>
            </w:r>
            <w:r>
              <w:rPr>
                <w:rFonts w:hint="default" w:ascii="Segoe UI" w:hAnsi="Segoe UI" w:eastAsia="Segoe UI" w:cs="Segoe UI"/>
                <w:b w:val="0"/>
                <w:bCs/>
                <w:color w:val="000000"/>
                <w:kern w:val="0"/>
                <w:sz w:val="21"/>
                <w:szCs w:val="21"/>
                <w:lang w:val="en-US" w:eastAsia="zh-CN" w:bidi="ar"/>
              </w:rPr>
              <w:t>​</w:t>
            </w:r>
          </w:p>
        </w:tc>
      </w:tr>
      <w:tr w14:paraId="08870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24111B63">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蔬菜出口量（万吨）</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75DFEF81">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700（+13%）</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688D09F9">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550（基准）</w:t>
            </w:r>
          </w:p>
        </w:tc>
        <w:tc>
          <w:tcPr>
            <w:tcW w:w="0" w:type="auto"/>
            <w:tcBorders>
              <w:top w:val="single" w:color="000000" w:sz="4" w:space="0"/>
              <w:left w:val="nil"/>
              <w:bottom w:val="nil"/>
              <w:right w:val="nil"/>
            </w:tcBorders>
            <w:shd w:val="clear" w:color="auto" w:fill="FFFFFF"/>
            <w:tcMar>
              <w:top w:w="180" w:type="dxa"/>
              <w:left w:w="240" w:type="dxa"/>
              <w:bottom w:w="180" w:type="dxa"/>
              <w:right w:w="240" w:type="dxa"/>
            </w:tcMar>
            <w:vAlign w:val="center"/>
          </w:tcPr>
          <w:p w14:paraId="7B48CE9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400（-27%）</w:t>
            </w:r>
          </w:p>
        </w:tc>
      </w:tr>
      <w:tr w14:paraId="68651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DF0952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深加工食品渗透率</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A9DCED6">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45%</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9DAA79C">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35%</w:t>
            </w:r>
          </w:p>
        </w:tc>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A59816A">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25%</w:t>
            </w:r>
          </w:p>
        </w:tc>
      </w:tr>
      <w:tr w14:paraId="10798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25B82267">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智能农机市场份额</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33D50695">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50%</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10F02BE0">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40%</w:t>
            </w:r>
          </w:p>
        </w:tc>
        <w:tc>
          <w:tcPr>
            <w:tcW w:w="0" w:type="auto"/>
            <w:tcBorders>
              <w:top w:val="nil"/>
              <w:left w:val="nil"/>
              <w:bottom w:val="single" w:color="000000" w:sz="12" w:space="0"/>
              <w:right w:val="nil"/>
            </w:tcBorders>
            <w:shd w:val="clear" w:color="auto" w:fill="FFFFFF"/>
            <w:tcMar>
              <w:top w:w="180" w:type="dxa"/>
              <w:left w:w="240" w:type="dxa"/>
              <w:bottom w:w="180" w:type="dxa"/>
              <w:right w:w="240" w:type="dxa"/>
            </w:tcMar>
            <w:vAlign w:val="center"/>
          </w:tcPr>
          <w:p w14:paraId="6112915F">
            <w:pPr>
              <w:keepNext w:val="0"/>
              <w:keepLines w:val="0"/>
              <w:widowControl/>
              <w:suppressLineNumbers w:val="0"/>
              <w:spacing w:before="0" w:beforeAutospacing="0" w:after="0" w:afterAutospacing="0" w:line="24" w:lineRule="atLeast"/>
              <w:ind w:left="0" w:right="0"/>
              <w:jc w:val="center"/>
              <w:textAlignment w:val="center"/>
              <w:rPr>
                <w:rFonts w:hint="default" w:ascii="Segoe UI" w:hAnsi="Segoe UI" w:eastAsia="Segoe UI" w:cs="Segoe UI"/>
                <w:b w:val="0"/>
                <w:color w:val="000000"/>
                <w:sz w:val="21"/>
                <w:szCs w:val="21"/>
              </w:rPr>
            </w:pPr>
            <w:r>
              <w:rPr>
                <w:rFonts w:hint="default" w:ascii="Segoe UI" w:hAnsi="Segoe UI" w:eastAsia="Segoe UI" w:cs="Segoe UI"/>
                <w:b w:val="0"/>
                <w:color w:val="000000"/>
                <w:kern w:val="0"/>
                <w:sz w:val="21"/>
                <w:szCs w:val="21"/>
                <w:lang w:val="en-US" w:eastAsia="zh-CN" w:bidi="ar"/>
              </w:rPr>
              <w:t>30%</w:t>
            </w:r>
          </w:p>
        </w:tc>
      </w:tr>
    </w:tbl>
    <w:p w14:paraId="075DA8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i w:val="0"/>
          <w:color w:val="333333"/>
          <w:sz w:val="24"/>
          <w:szCs w:val="24"/>
        </w:rPr>
        <w:sectPr>
          <w:headerReference r:id="rId25" w:type="default"/>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4230A4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i w:val="0"/>
          <w:color w:val="333333"/>
          <w:sz w:val="24"/>
          <w:szCs w:val="24"/>
        </w:rPr>
      </w:pPr>
    </w:p>
    <w:p w14:paraId="1E827A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pPr>
    </w:p>
    <w:p w14:paraId="2F688050">
      <w:pPr>
        <w:pStyle w:val="2"/>
        <w:keepNext/>
        <w:keepLines/>
        <w:pageBreakBefore w:val="0"/>
        <w:widowControl w:val="0"/>
        <w:kinsoku/>
        <w:wordWrap/>
        <w:overflowPunct/>
        <w:topLinePunct w:val="0"/>
        <w:autoSpaceDE/>
        <w:autoSpaceDN/>
        <w:bidi w:val="0"/>
        <w:adjustRightInd/>
        <w:snapToGrid/>
        <w:spacing w:before="156" w:beforeLines="50" w:after="156" w:afterLines="50" w:line="360" w:lineRule="auto"/>
        <w:jc w:val="center"/>
        <w:textAlignment w:val="auto"/>
        <w:rPr>
          <w:rFonts w:hint="eastAsia" w:ascii="黑体" w:hAnsi="黑体" w:eastAsia="黑体" w:cs="黑体"/>
          <w:b w:val="0"/>
          <w:bCs/>
          <w:sz w:val="30"/>
          <w:szCs w:val="30"/>
        </w:rPr>
      </w:pPr>
      <w:bookmarkStart w:id="97" w:name="_Toc6616"/>
      <w:bookmarkStart w:id="98" w:name="_Toc27324"/>
      <w:bookmarkStart w:id="99" w:name="_Toc12431"/>
      <w:r>
        <w:rPr>
          <w:rFonts w:hint="eastAsia" w:ascii="黑体" w:hAnsi="黑体" w:eastAsia="黑体" w:cs="黑体"/>
          <w:b w:val="0"/>
          <w:bCs/>
          <w:sz w:val="30"/>
          <w:szCs w:val="30"/>
          <w:lang w:val="en-US" w:eastAsia="zh-CN"/>
        </w:rPr>
        <w:t>第6章</w:t>
      </w:r>
      <w:r>
        <w:rPr>
          <w:rFonts w:hint="eastAsia" w:ascii="黑体" w:hAnsi="黑体" w:eastAsia="黑体" w:cs="黑体"/>
          <w:b w:val="0"/>
          <w:bCs/>
          <w:sz w:val="30"/>
          <w:szCs w:val="30"/>
        </w:rPr>
        <w:t xml:space="preserve"> </w:t>
      </w:r>
      <w:r>
        <w:rPr>
          <w:rFonts w:hint="eastAsia" w:ascii="黑体" w:hAnsi="黑体" w:eastAsia="黑体" w:cs="黑体"/>
          <w:b w:val="0"/>
          <w:bCs/>
          <w:sz w:val="30"/>
          <w:szCs w:val="30"/>
          <w:lang w:val="en-US" w:eastAsia="zh-CN"/>
        </w:rPr>
        <w:t xml:space="preserve"> 中国对俄罗斯农产品出口的对策建议</w:t>
      </w:r>
      <w:r>
        <w:commentReference w:id="2"/>
      </w:r>
      <w:bookmarkEnd w:id="97"/>
      <w:bookmarkEnd w:id="98"/>
      <w:bookmarkEnd w:id="99"/>
    </w:p>
    <w:p w14:paraId="7EDC195D">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cs="黑体"/>
          <w:b w:val="0"/>
          <w:bCs/>
          <w:sz w:val="28"/>
          <w:szCs w:val="28"/>
          <w:lang w:val="en-US" w:eastAsia="zh-CN"/>
        </w:rPr>
      </w:pPr>
      <w:bookmarkStart w:id="100" w:name="_Toc22892"/>
      <w:bookmarkStart w:id="101" w:name="_Toc14094"/>
      <w:bookmarkStart w:id="102" w:name="_Toc31477"/>
      <w:r>
        <w:rPr>
          <w:rFonts w:hint="eastAsia" w:ascii="黑体" w:hAnsi="黑体" w:cs="黑体"/>
          <w:b w:val="0"/>
          <w:bCs/>
          <w:sz w:val="28"/>
          <w:szCs w:val="28"/>
          <w:lang w:val="en-US" w:eastAsia="zh-CN"/>
        </w:rPr>
        <w:t xml:space="preserve">6.1  </w:t>
      </w:r>
      <w:bookmarkEnd w:id="100"/>
      <w:bookmarkEnd w:id="101"/>
      <w:r>
        <w:rPr>
          <w:rFonts w:hint="eastAsia" w:ascii="黑体" w:hAnsi="黑体" w:cs="黑体"/>
          <w:b w:val="0"/>
          <w:bCs/>
          <w:sz w:val="28"/>
          <w:szCs w:val="28"/>
          <w:lang w:val="en-US" w:eastAsia="zh-CN"/>
        </w:rPr>
        <w:t>政策层面的优化建议</w:t>
      </w:r>
      <w:bookmarkEnd w:id="102"/>
    </w:p>
    <w:p w14:paraId="3BA65544">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103" w:name="_Toc12455"/>
      <w:bookmarkStart w:id="104" w:name="_Toc7227"/>
      <w:bookmarkStart w:id="105" w:name="_Toc785"/>
      <w:r>
        <w:rPr>
          <w:rFonts w:hint="eastAsia" w:ascii="Times New Roman" w:hAnsi="Times New Roman" w:eastAsia="黑体" w:cs="Times New Roman"/>
          <w:b w:val="0"/>
          <w:bCs/>
          <w:color w:val="000000"/>
          <w:kern w:val="2"/>
          <w:sz w:val="24"/>
          <w:szCs w:val="24"/>
          <w:lang w:val="en-US" w:eastAsia="zh-CN" w:bidi="ar-SA"/>
        </w:rPr>
        <w:t xml:space="preserve">6.1.1  </w:t>
      </w:r>
      <w:bookmarkEnd w:id="103"/>
      <w:bookmarkEnd w:id="104"/>
      <w:r>
        <w:rPr>
          <w:rFonts w:hint="eastAsia" w:ascii="Times New Roman" w:hAnsi="Times New Roman" w:eastAsia="黑体" w:cs="Times New Roman"/>
          <w:b w:val="0"/>
          <w:bCs/>
          <w:color w:val="000000"/>
          <w:kern w:val="2"/>
          <w:sz w:val="24"/>
          <w:szCs w:val="24"/>
          <w:lang w:val="en-US" w:eastAsia="zh-CN" w:bidi="ar-SA"/>
        </w:rPr>
        <w:t>推动双边贸易协议与检验检疫互认机制</w:t>
      </w:r>
      <w:bookmarkEnd w:id="105"/>
    </w:p>
    <w:p w14:paraId="101525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uk-UA"/>
        </w:rPr>
        <w:t>中俄需通过制度性安排破解贸易壁垒，核心是建立“一体化互认”框架。首先，应升级《中俄农产品贸易便利化协定》，将EAC与GB标准的关键指标（如农药残留、标签规范）纳入联合技术委员会审核范围，2023年因标准差异导致的退货损失达2.3亿美元，若实现30%关键指标互认，可降低损失40%。其次，推动建立中俄联合认证实验室，在哈尔滨、符拉迪沃斯托克设立分支机构，缩短认证周期至30天（当前平均60天），并通过区块链技术实现检测报告跨境实时同步，提升中小型企业认证通过率（从53%提升至75%）。最后，针对灰色清关风险（占比30%），试点“白名单”企业免检通关，优先纳入年出口额超1000万美元的龙头企业，2023年此类企业合规率超90%，可显著降低政策摩擦成本。</w:t>
      </w:r>
    </w:p>
    <w:p w14:paraId="2366CC2C">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106" w:name="_Toc23245"/>
      <w:bookmarkStart w:id="107" w:name="_Toc24612"/>
      <w:bookmarkStart w:id="108" w:name="_Toc6417"/>
      <w:r>
        <w:rPr>
          <w:rFonts w:hint="eastAsia" w:ascii="Times New Roman" w:hAnsi="Times New Roman" w:eastAsia="黑体" w:cs="Times New Roman"/>
          <w:b w:val="0"/>
          <w:bCs/>
          <w:color w:val="000000"/>
          <w:kern w:val="2"/>
          <w:sz w:val="24"/>
          <w:szCs w:val="24"/>
          <w:lang w:val="en-US" w:eastAsia="zh-CN" w:bidi="ar-SA"/>
        </w:rPr>
        <w:t xml:space="preserve">6.1.2  </w:t>
      </w:r>
      <w:bookmarkEnd w:id="106"/>
      <w:bookmarkEnd w:id="107"/>
      <w:r>
        <w:rPr>
          <w:rFonts w:hint="eastAsia" w:ascii="Times New Roman" w:hAnsi="Times New Roman" w:eastAsia="黑体" w:cs="Times New Roman"/>
          <w:b w:val="0"/>
          <w:bCs/>
          <w:color w:val="000000"/>
          <w:kern w:val="2"/>
          <w:sz w:val="24"/>
          <w:szCs w:val="24"/>
          <w:lang w:val="en-US" w:eastAsia="zh-CN" w:bidi="ar-SA"/>
        </w:rPr>
        <w:t>强化金融与物流支持体系</w:t>
      </w:r>
      <w:bookmarkEnd w:id="108"/>
    </w:p>
    <w:p w14:paraId="459E73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uk-UA"/>
        </w:rPr>
        <w:t>金融与物流协同是保障贸易韧性的关键。金融支持方面需扩大本币结算范围，将人民币结算占比从65%提升至80%，对使用人民币结算的企业给予出口退税加急处理（周期从90天缩至45天）；同时设立50亿美元专项风险基金，针对卢布汇率波动（年均波动率25%-30%）为企业提供汇率对冲补贴，降低汇兑损失率从15%至8%；创新供应链金融工具，推广“仓单质押+保险”模式，允许企业凭海外仓库存货值获得融资，利率较传统贷款低2-3个百分点。物流优化需填补中俄边境冷链缺口，三年内扩建绥芬河跨境冷链枢纽至60万吨容量，将果蔬损耗率从18%压至10%以下；开辟中欧班列“农产品专线”，优先保障冷链集装箱运输，2023年班列冷链利用率仅45%，若提升至70%可降低运费15%；建设中俄跨境物流大数据平台，整合通关、车辆定位与库存数据，实现全链路可视化，预计边境滞留时长从72小时压缩至24小时。</w:t>
      </w:r>
    </w:p>
    <w:p w14:paraId="625002F6">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cs="黑体"/>
          <w:b w:val="0"/>
          <w:bCs/>
          <w:sz w:val="28"/>
          <w:szCs w:val="28"/>
          <w:lang w:val="en-US" w:eastAsia="zh-CN"/>
        </w:rPr>
      </w:pPr>
      <w:bookmarkStart w:id="109" w:name="_Toc5379"/>
      <w:bookmarkStart w:id="110" w:name="_Toc3213"/>
      <w:bookmarkStart w:id="111" w:name="_Toc31241"/>
      <w:r>
        <w:rPr>
          <w:rFonts w:hint="eastAsia" w:ascii="黑体" w:hAnsi="黑体" w:cs="黑体"/>
          <w:b w:val="0"/>
          <w:bCs/>
          <w:sz w:val="28"/>
          <w:szCs w:val="28"/>
          <w:lang w:val="en-US" w:eastAsia="zh-CN"/>
        </w:rPr>
        <w:t xml:space="preserve">6.2  </w:t>
      </w:r>
      <w:bookmarkEnd w:id="109"/>
      <w:bookmarkEnd w:id="110"/>
      <w:r>
        <w:rPr>
          <w:rFonts w:hint="default" w:ascii="黑体" w:hAnsi="黑体" w:cs="黑体"/>
          <w:b w:val="0"/>
          <w:bCs/>
          <w:sz w:val="28"/>
          <w:szCs w:val="28"/>
          <w:lang w:val="en-US" w:eastAsia="zh-CN"/>
        </w:rPr>
        <w:t>企业层面的战略调整建议</w:t>
      </w:r>
      <w:bookmarkEnd w:id="111"/>
    </w:p>
    <w:p w14:paraId="79FF398E">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eastAsia" w:ascii="Times New Roman" w:hAnsi="Times New Roman" w:eastAsia="黑体" w:cs="Times New Roman"/>
          <w:b w:val="0"/>
          <w:bCs/>
          <w:color w:val="000000"/>
          <w:kern w:val="2"/>
          <w:sz w:val="24"/>
          <w:szCs w:val="24"/>
          <w:lang w:val="en-US" w:eastAsia="zh-CN" w:bidi="ar-SA"/>
        </w:rPr>
      </w:pPr>
      <w:bookmarkStart w:id="112" w:name="_Toc26522"/>
      <w:bookmarkStart w:id="113" w:name="_Toc9168"/>
      <w:bookmarkStart w:id="114" w:name="_Toc9321"/>
      <w:r>
        <w:rPr>
          <w:rFonts w:hint="eastAsia" w:ascii="Times New Roman" w:hAnsi="Times New Roman" w:eastAsia="黑体" w:cs="Times New Roman"/>
          <w:b w:val="0"/>
          <w:bCs/>
          <w:color w:val="000000"/>
          <w:kern w:val="2"/>
          <w:sz w:val="24"/>
          <w:szCs w:val="24"/>
          <w:lang w:val="en-US" w:eastAsia="zh-CN" w:bidi="ar-SA"/>
        </w:rPr>
        <w:t xml:space="preserve">6.2.1  </w:t>
      </w:r>
      <w:bookmarkEnd w:id="112"/>
      <w:bookmarkEnd w:id="113"/>
      <w:r>
        <w:rPr>
          <w:rFonts w:hint="eastAsia" w:ascii="Times New Roman" w:hAnsi="Times New Roman" w:eastAsia="黑体" w:cs="Times New Roman"/>
          <w:b w:val="0"/>
          <w:bCs/>
          <w:color w:val="000000"/>
          <w:kern w:val="2"/>
          <w:sz w:val="24"/>
          <w:szCs w:val="24"/>
          <w:lang w:val="en-US" w:eastAsia="zh-CN" w:bidi="ar-SA"/>
        </w:rPr>
        <w:t>市场精准化定位与产品创新</w:t>
      </w:r>
      <w:bookmarkEnd w:id="114"/>
    </w:p>
    <w:p w14:paraId="113C582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uk-UA"/>
        </w:rPr>
        <w:t>俄罗斯市场的复杂性和多样性要求中国企业采取精细化战略。在市场精准化定位与产品创新方面，企业需深度挖掘区域消费差异。以莫斯科、圣彼得堡为核心的欧洲部分聚集了俄罗斯60%的高收入群体，其人均食品消费支出达500美元/月，偏好单价超15元/公斤的有机蔬菜和精品水果。2023年中国通过空运直供车厘子、蓝莓等高端品类，物流成本占售价40%，但依托莫斯科海外仓“次日达”服务可将损耗率从12%压至5%，溢价能力提升10%-15%。相比之下，远东地区价格敏感度高，洋葱、土豆等大宗品类占需求70%，黑龙江企业通过边境仓“今日达”覆盖200公里半径，运输成本较跨区配送低60%，2023年绥芬河口岸日均出口量超500吨，但需警惕俄本土温室农业扩张导致的低价竞争（2023年俄远东蔬菜自给率提升至35%）。产品创新需兼顾本土化与差异化，例如预制菜通过降低辣度、增加奶油风味适配俄餐饮市场，2023年销量增长55%；菌菇干制品以100克小包装切入零售渠道，复购率提升至40%。技术层面，中小企业可联合科研机构开发耐储运品种，如黑龙江农科院培育的“寒地番茄”货架期延长至30天，运输损耗率降低50%，2023年试点出口量达2万吨，市场份额提升至18%。</w:t>
      </w:r>
    </w:p>
    <w:p w14:paraId="5C245863">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115" w:name="_Toc18649"/>
      <w:bookmarkStart w:id="116" w:name="_Toc7036"/>
      <w:bookmarkStart w:id="117" w:name="_Toc23263"/>
      <w:r>
        <w:rPr>
          <w:rFonts w:hint="eastAsia" w:ascii="Times New Roman" w:hAnsi="Times New Roman" w:eastAsia="黑体" w:cs="Times New Roman"/>
          <w:b w:val="0"/>
          <w:bCs/>
          <w:color w:val="000000"/>
          <w:kern w:val="2"/>
          <w:sz w:val="24"/>
          <w:szCs w:val="24"/>
          <w:lang w:val="en-US" w:eastAsia="zh-CN" w:bidi="ar-SA"/>
        </w:rPr>
        <w:t xml:space="preserve">6.2.2  </w:t>
      </w:r>
      <w:bookmarkEnd w:id="115"/>
      <w:bookmarkEnd w:id="116"/>
      <w:r>
        <w:rPr>
          <w:rFonts w:hint="eastAsia" w:ascii="Times New Roman" w:hAnsi="Times New Roman" w:eastAsia="黑体" w:cs="Times New Roman"/>
          <w:b w:val="0"/>
          <w:bCs/>
          <w:color w:val="000000"/>
          <w:kern w:val="2"/>
          <w:sz w:val="24"/>
          <w:szCs w:val="24"/>
          <w:lang w:val="en-US" w:eastAsia="zh-CN" w:bidi="ar-SA"/>
        </w:rPr>
        <w:t>供应链与风险管理</w:t>
      </w:r>
      <w:bookmarkEnd w:id="117"/>
    </w:p>
    <w:p w14:paraId="413B6D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供应链与风险管理是应对地缘不确定性的核心。物流环节需构建多元通道，中欧班列冷链专列2023年开行量120列，运输时效缩短至12天，成本降低15%，但突发地缘冲突（如2022年俄乌冲突）曾导致口岸滞留增长3倍，建议企业预留20%冗余运力并投保供应链中断险（保费率为货值0.5%-1%）。卢布汇率波动（年均波动率25%-30%）要求强化金融对冲，与中俄银行合作开展“人民币-卢布远期锁汇”可将汇兑损失率从15%压至8%，同时利用“仓单质押+保险”模式，企业凭海外仓库存货值获得融资，利率较传统贷款低2-3个百分点，2023年试点企业资金周转率提升30%。质量风险需全链条管控，接入区块链溯源的中小企业EAC认证通过率从53%提升至75%，退货率下降至5%，而未接入企业退货率仍高达20%，技术投入回报显著。</w:t>
      </w:r>
    </w:p>
    <w:p w14:paraId="761BB210">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cs="黑体"/>
          <w:b w:val="0"/>
          <w:bCs/>
          <w:sz w:val="28"/>
          <w:szCs w:val="28"/>
          <w:lang w:val="en-US" w:eastAsia="zh-CN"/>
        </w:rPr>
      </w:pPr>
      <w:bookmarkStart w:id="118" w:name="_Toc32364"/>
      <w:r>
        <w:rPr>
          <w:rFonts w:hint="eastAsia" w:ascii="黑体" w:hAnsi="黑体" w:cs="黑体"/>
          <w:b w:val="0"/>
          <w:bCs/>
          <w:sz w:val="28"/>
          <w:szCs w:val="28"/>
          <w:lang w:val="en-US" w:eastAsia="zh-CN"/>
        </w:rPr>
        <w:t>6.3  行业协作与风险应对建议</w:t>
      </w:r>
      <w:bookmarkEnd w:id="118"/>
    </w:p>
    <w:p w14:paraId="74F57814">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eastAsia" w:ascii="Times New Roman" w:hAnsi="Times New Roman" w:eastAsia="黑体" w:cs="Times New Roman"/>
          <w:b w:val="0"/>
          <w:bCs/>
          <w:color w:val="000000"/>
          <w:kern w:val="2"/>
          <w:sz w:val="24"/>
          <w:szCs w:val="24"/>
          <w:lang w:val="en-US" w:eastAsia="zh-CN" w:bidi="ar-SA"/>
        </w:rPr>
      </w:pPr>
      <w:bookmarkStart w:id="119" w:name="_Toc18412"/>
      <w:r>
        <w:rPr>
          <w:rFonts w:hint="eastAsia" w:ascii="Times New Roman" w:hAnsi="Times New Roman" w:eastAsia="黑体" w:cs="Times New Roman"/>
          <w:b w:val="0"/>
          <w:bCs/>
          <w:color w:val="000000"/>
          <w:kern w:val="2"/>
          <w:sz w:val="24"/>
          <w:szCs w:val="24"/>
          <w:lang w:val="en-US" w:eastAsia="zh-CN" w:bidi="ar-SA"/>
        </w:rPr>
        <w:t>6.3.1  构建对俄出口产业联盟</w:t>
      </w:r>
      <w:bookmarkEnd w:id="119"/>
    </w:p>
    <w:p w14:paraId="52C844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uk-UA"/>
        </w:rPr>
        <w:t>行业联盟可整合资源、分散风险。建议由农业农村部牵头成立“对俄农产品出口联盟”，联合龙头企业（如中粮、北大荒）与中小供应商，实现信息共享与集体谈判。例如，山东寿光集团通过联盟统一采购俄方农资（如温室建材），成本降低18%；联盟内企业共享物流通道，2023年中欧班列冷链专列装载率从45%提升至70%，运费下降12%。技术协作方面，联盟可共建实验室推动中俄标准互认，2023年联合认证的番茄农药残留标准（GB/EAC）差异缩小50%，认证周期从60天压缩至30天，市场份额提升至58%。</w:t>
      </w:r>
    </w:p>
    <w:p w14:paraId="686668EA">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120" w:name="_Toc29731"/>
      <w:r>
        <w:rPr>
          <w:rFonts w:hint="eastAsia" w:ascii="Times New Roman" w:hAnsi="Times New Roman" w:eastAsia="黑体" w:cs="Times New Roman"/>
          <w:b w:val="0"/>
          <w:bCs/>
          <w:color w:val="000000"/>
          <w:kern w:val="2"/>
          <w:sz w:val="24"/>
          <w:szCs w:val="24"/>
          <w:lang w:val="en-US" w:eastAsia="zh-CN" w:bidi="ar-SA"/>
        </w:rPr>
        <w:t>6.3.2  地缘政治与质量风险防控</w:t>
      </w:r>
      <w:bookmarkEnd w:id="120"/>
    </w:p>
    <w:p w14:paraId="3360DA4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uk-UA"/>
        </w:rPr>
        <w:t>中地缘政治风险需多维度预案。运输路线方面，建立“北极航道+中欧班列+中蒙俄公路”多通道备份，2023年北极航道试运行6批次，时效较黑海航线快10天，但破冰船护航成本高达3000美元/标箱，需政策补贴（如减免50%护航费）推动规模化应用。质量风险需源头管控，联盟内企业强制实施GAP（良好农业规范）认证，2023年通过认证企业退货率仅3%，较行业平均低12个百分点；引入第三方检测机构（如SGS）驻俄抽检，未通过企业承担全额返程成本，倒逼生产标准提升。针对俄方政策突变风险（如2023年外资持股限制升级），建议企业通过合资公司（中方技术占股≤49%）规避合规风险，同时投保政治风险保险（覆盖征收、汇兑限制等），保费率为投资额1.2%-2%，2023年13个中资项目因此止损超5亿元。</w:t>
      </w:r>
    </w:p>
    <w:p w14:paraId="64585B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sectPr>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467364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pPr>
    </w:p>
    <w:p w14:paraId="7A75C7BB">
      <w:pPr>
        <w:pStyle w:val="2"/>
        <w:keepNext/>
        <w:keepLines/>
        <w:pageBreakBefore w:val="0"/>
        <w:widowControl w:val="0"/>
        <w:kinsoku/>
        <w:wordWrap/>
        <w:overflowPunct/>
        <w:topLinePunct w:val="0"/>
        <w:autoSpaceDE/>
        <w:autoSpaceDN/>
        <w:bidi w:val="0"/>
        <w:adjustRightInd/>
        <w:snapToGrid/>
        <w:spacing w:before="156" w:beforeLines="50" w:after="156" w:afterLines="50" w:line="360" w:lineRule="auto"/>
        <w:jc w:val="center"/>
        <w:textAlignment w:val="auto"/>
        <w:rPr>
          <w:rFonts w:hint="eastAsia" w:ascii="黑体" w:hAnsi="黑体" w:eastAsia="黑体" w:cs="黑体"/>
          <w:b w:val="0"/>
          <w:bCs/>
          <w:sz w:val="30"/>
          <w:szCs w:val="30"/>
        </w:rPr>
      </w:pPr>
      <w:bookmarkStart w:id="121" w:name="_Toc9666"/>
      <w:bookmarkStart w:id="122" w:name="_Toc20100"/>
      <w:bookmarkStart w:id="123" w:name="_Toc14180"/>
      <w:r>
        <w:rPr>
          <w:rFonts w:hint="eastAsia" w:ascii="黑体" w:hAnsi="黑体" w:eastAsia="黑体" w:cs="黑体"/>
          <w:b w:val="0"/>
          <w:bCs/>
          <w:sz w:val="30"/>
          <w:szCs w:val="30"/>
          <w:lang w:val="en-US" w:eastAsia="zh-CN"/>
        </w:rPr>
        <w:t>第7章</w:t>
      </w:r>
      <w:r>
        <w:rPr>
          <w:rFonts w:hint="eastAsia" w:ascii="黑体" w:hAnsi="黑体" w:eastAsia="黑体" w:cs="黑体"/>
          <w:b w:val="0"/>
          <w:bCs/>
          <w:sz w:val="30"/>
          <w:szCs w:val="30"/>
        </w:rPr>
        <w:t xml:space="preserve"> </w:t>
      </w:r>
      <w:r>
        <w:rPr>
          <w:rFonts w:hint="eastAsia" w:ascii="黑体" w:hAnsi="黑体" w:eastAsia="黑体" w:cs="黑体"/>
          <w:b w:val="0"/>
          <w:bCs/>
          <w:sz w:val="30"/>
          <w:szCs w:val="30"/>
          <w:lang w:val="en-US" w:eastAsia="zh-CN"/>
        </w:rPr>
        <w:t xml:space="preserve"> </w:t>
      </w:r>
      <w:r>
        <w:rPr>
          <w:rFonts w:hint="eastAsia" w:ascii="黑体" w:hAnsi="黑体" w:eastAsia="黑体" w:cs="黑体"/>
          <w:b w:val="0"/>
          <w:bCs/>
          <w:sz w:val="30"/>
          <w:szCs w:val="30"/>
        </w:rPr>
        <w:t>结论和展望</w:t>
      </w:r>
      <w:bookmarkEnd w:id="121"/>
      <w:bookmarkEnd w:id="122"/>
      <w:bookmarkEnd w:id="123"/>
    </w:p>
    <w:p w14:paraId="099BB48A">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cs="黑体"/>
          <w:b w:val="0"/>
          <w:bCs/>
          <w:sz w:val="28"/>
          <w:szCs w:val="28"/>
          <w:lang w:val="en-US" w:eastAsia="zh-CN"/>
        </w:rPr>
      </w:pPr>
      <w:bookmarkStart w:id="124" w:name="_Toc15562"/>
      <w:bookmarkStart w:id="125" w:name="_Toc11781"/>
      <w:bookmarkStart w:id="126" w:name="_Toc7319"/>
      <w:r>
        <w:rPr>
          <w:rFonts w:hint="eastAsia" w:ascii="黑体" w:hAnsi="黑体" w:cs="黑体"/>
          <w:b w:val="0"/>
          <w:bCs/>
          <w:sz w:val="28"/>
          <w:szCs w:val="28"/>
          <w:lang w:val="en-US" w:eastAsia="zh-CN"/>
        </w:rPr>
        <w:t>7.1  总结</w:t>
      </w:r>
      <w:bookmarkEnd w:id="124"/>
      <w:bookmarkEnd w:id="125"/>
      <w:bookmarkEnd w:id="126"/>
    </w:p>
    <w:p w14:paraId="2EAA869B">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宋体" w:hAnsi="宋体" w:eastAsia="宋体" w:cs="宋体"/>
          <w:b w:val="0"/>
          <w:i w:val="0"/>
          <w:color w:val="333333"/>
          <w:sz w:val="24"/>
          <w:szCs w:val="24"/>
          <w:lang w:val="en-US" w:eastAsia="uk-UA"/>
        </w:rPr>
      </w:pPr>
      <w:bookmarkStart w:id="127" w:name="_Toc8221"/>
      <w:bookmarkStart w:id="128" w:name="_Toc695"/>
      <w:bookmarkStart w:id="129" w:name="_Toc18422"/>
      <w:r>
        <w:rPr>
          <w:rFonts w:hint="eastAsia" w:ascii="Times New Roman" w:hAnsi="Times New Roman" w:eastAsia="黑体" w:cs="Times New Roman"/>
          <w:b w:val="0"/>
          <w:bCs/>
          <w:color w:val="000000"/>
          <w:kern w:val="2"/>
          <w:sz w:val="24"/>
          <w:szCs w:val="24"/>
          <w:lang w:val="en-US" w:eastAsia="zh-CN" w:bidi="ar-SA"/>
        </w:rPr>
        <w:t>7.1.1  主要研究发现</w:t>
      </w:r>
      <w:bookmarkEnd w:id="127"/>
      <w:bookmarkEnd w:id="128"/>
      <w:bookmarkEnd w:id="129"/>
      <w:bookmarkStart w:id="130" w:name="_Toc27754"/>
      <w:bookmarkStart w:id="131" w:name="_Toc31618"/>
      <w:bookmarkStart w:id="132" w:name="_Toc27099"/>
    </w:p>
    <w:p w14:paraId="587A2C76">
      <w:pPr>
        <w:keepNext w:val="0"/>
        <w:keepLines w:val="0"/>
        <w:pageBreakBefore w:val="0"/>
        <w:widowControl w:val="0"/>
        <w:kinsoku/>
        <w:wordWrap/>
        <w:overflowPunct/>
        <w:topLinePunct w:val="0"/>
        <w:autoSpaceDE/>
        <w:autoSpaceDN/>
        <w:bidi w:val="0"/>
        <w:adjustRightInd/>
        <w:snapToGrid/>
        <w:spacing w:line="400" w:lineRule="exact"/>
        <w:ind w:firstLine="720" w:firstLineChars="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中俄农产品贸易在过去十年间（2013-2023年）经历了从“规模扩张”到“质量跃升”的转型，其核心驱动力在于资源禀赋的互补性与地缘政治格局的演变。从贸易规模看，中国对俄农产品出口额从2013年的32亿美元增至2023年的132亿美元，年均增长率达15.2%，远超同期中国对外农产品出口总额增速（7.5%）。这一增长尤其集中在2014年克里米亚危机后，西方制裁导致俄罗斯进口替代政策加速，2015-2020年中国对俄蔬菜出口量年均增长18%，水果出口量增长22%，填补了欧盟退出后的市场真空。从结构变迁看，深加工食品占比从2018年的9%提升至2023年的18%，以速冻水饺、菌菇干制品为代表的高附加值品类出口单价较初级产品高出3.5倍，反映出中国企业在技术升级与品牌溢价上的突破。但区域集中度过高的问题依然突出，东北三省（黑龙江、吉林、辽宁）占对俄出口总额的72%，而河南、山东等农业大省因物流与政策协同不足，参与度不足5%，暴露全国资源配置的失衡。</w:t>
      </w:r>
      <w:bookmarkEnd w:id="130"/>
    </w:p>
    <w:p w14:paraId="4F09E4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bookmarkStart w:id="133" w:name="_Toc12920"/>
      <w:r>
        <w:rPr>
          <w:rFonts w:hint="default" w:ascii="宋体" w:hAnsi="宋体" w:eastAsia="宋体" w:cs="宋体"/>
          <w:b w:val="0"/>
          <w:i w:val="0"/>
          <w:color w:val="333333"/>
          <w:sz w:val="24"/>
          <w:szCs w:val="24"/>
          <w:lang w:val="en-US" w:eastAsia="uk-UA"/>
        </w:rPr>
        <w:t>地缘政治与政策协同对贸易韧性的影响显著。中俄共建的70个农业合作示范区在2023年贡献了28%的出口增量，其中黑龙江自贸区跨境冷链枢纽（40万吨容量）将果蔬损耗率从18%压至10%，示范效应明显。人民币结算占比从2018年的15%跃升至2023年的65%，降低企业汇兑损失率8个百分点，但俄方外资准入限制（农业用地持股上限49%）导致13个中资项目停滞，涉及投资额超15亿元，凸显制度性壁垒的制约。此外，物流效率仍是关键瓶颈，中俄边境冷链仓储缺口40万吨，中欧班列冷链专列利用率仅45%，若提升至70%可降低综合运费15%，需政策与企业合力突破。</w:t>
      </w:r>
      <w:bookmarkEnd w:id="133"/>
    </w:p>
    <w:p w14:paraId="6DA97BD1">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134" w:name="_Toc31192"/>
      <w:r>
        <w:rPr>
          <w:rFonts w:hint="eastAsia" w:ascii="Times New Roman" w:hAnsi="Times New Roman" w:eastAsia="黑体" w:cs="Times New Roman"/>
          <w:b w:val="0"/>
          <w:bCs/>
          <w:color w:val="000000"/>
          <w:kern w:val="2"/>
          <w:sz w:val="24"/>
          <w:szCs w:val="24"/>
          <w:lang w:val="en-US" w:eastAsia="zh-CN" w:bidi="ar-SA"/>
        </w:rPr>
        <w:t>7.1.2  对中</w:t>
      </w:r>
      <w:r>
        <w:rPr>
          <w:rFonts w:hint="eastAsia" w:eastAsia="黑体" w:cs="Times New Roman"/>
          <w:b w:val="0"/>
          <w:bCs/>
          <w:color w:val="000000"/>
          <w:kern w:val="2"/>
          <w:sz w:val="24"/>
          <w:szCs w:val="24"/>
          <w:lang w:val="en-US" w:eastAsia="zh-CN" w:bidi="ar-SA"/>
        </w:rPr>
        <w:t>过对俄罗斯</w:t>
      </w:r>
      <w:r>
        <w:rPr>
          <w:rFonts w:hint="eastAsia" w:ascii="Times New Roman" w:hAnsi="Times New Roman" w:eastAsia="黑体" w:cs="Times New Roman"/>
          <w:b w:val="0"/>
          <w:bCs/>
          <w:color w:val="000000"/>
          <w:kern w:val="2"/>
          <w:sz w:val="24"/>
          <w:szCs w:val="24"/>
          <w:lang w:val="en-US" w:eastAsia="zh-CN" w:bidi="ar-SA"/>
        </w:rPr>
        <w:t>农产品</w:t>
      </w:r>
      <w:r>
        <w:rPr>
          <w:rFonts w:hint="eastAsia" w:eastAsia="黑体" w:cs="Times New Roman"/>
          <w:b w:val="0"/>
          <w:bCs/>
          <w:color w:val="000000"/>
          <w:kern w:val="2"/>
          <w:sz w:val="24"/>
          <w:szCs w:val="24"/>
          <w:lang w:val="en-US" w:eastAsia="zh-CN" w:bidi="ar-SA"/>
        </w:rPr>
        <w:t>出口</w:t>
      </w:r>
      <w:r>
        <w:rPr>
          <w:rFonts w:hint="eastAsia" w:ascii="Times New Roman" w:hAnsi="Times New Roman" w:eastAsia="黑体" w:cs="Times New Roman"/>
          <w:b w:val="0"/>
          <w:bCs/>
          <w:color w:val="000000"/>
          <w:kern w:val="2"/>
          <w:sz w:val="24"/>
          <w:szCs w:val="24"/>
          <w:lang w:val="en-US" w:eastAsia="zh-CN" w:bidi="ar-SA"/>
        </w:rPr>
        <w:t>贸易的整体评价</w:t>
      </w:r>
      <w:bookmarkEnd w:id="131"/>
      <w:bookmarkEnd w:id="132"/>
      <w:bookmarkEnd w:id="134"/>
    </w:p>
    <w:p w14:paraId="05959FB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中俄农产品贸易的本质是“资源-技术-市场”三位一体的战略协同。中国依托劳动力成本优势（番茄生产成本0.8元/公斤，较俄低43%）与供应链敏捷性（中欧班列冷链时效15天），精准填补俄罗斯的果蔬缺口（2023年俄蔬菜自给率45%，水果自给率30%）。俄罗斯则以土地资源（远东耕地租赁价格120美元/公顷·年，较中国低60%）与大宗农产品产能（小麦出口量4200万吨全球第一）反哺中国粮食安全。这种互补性在西方制裁背景下被进一步强化，2022年俄乌冲突后，中国对俄蔬菜出口量增长35%，乳制品出口激增80%，而欧盟对俄农产品出口下降23%。</w:t>
      </w:r>
    </w:p>
    <w:p w14:paraId="3ACBAF5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lang w:val="en-US" w:eastAsia="uk-UA"/>
        </w:rPr>
      </w:pPr>
      <w:r>
        <w:rPr>
          <w:rFonts w:hint="default" w:ascii="宋体" w:hAnsi="宋体" w:eastAsia="宋体" w:cs="宋体"/>
          <w:b w:val="0"/>
          <w:i w:val="0"/>
          <w:color w:val="333333"/>
          <w:sz w:val="24"/>
          <w:szCs w:val="24"/>
          <w:lang w:val="en-US" w:eastAsia="uk-UA"/>
        </w:rPr>
        <w:t>然而，贸易关系的“浅层互补性”暗藏结构性风险。俄罗斯正加速提升农业自给率，计划到2030年将蔬菜自给率提高至60%，这意味着中国对俄番茄出口可能在2026年达到峰值620万吨后逐步回落。与此同时，俄罗斯对华种业依赖度上升（黑龙江番茄种子占远东种植面积的40%），但中国尚未形成技术壁垒，俄方通过引进荷兰温室技术逐步缩小差距。长期来看，双边贸易需从“规模驱动”转向“技术共生”，例如联合研发耐寒高产品种（如-30℃环境下生长的“极地番茄”）、共建跨境数字供应链平台（区块链溯源覆盖80%出口品类），才能突破“互补却不互赖”的瓶颈。</w:t>
      </w:r>
    </w:p>
    <w:p w14:paraId="0D3A41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4"/>
          <w:lang w:val="en-US" w:eastAsia="zh-CN"/>
        </w:rPr>
      </w:pPr>
    </w:p>
    <w:p w14:paraId="4E6E2365">
      <w:pPr>
        <w:pStyle w:val="3"/>
        <w:keepNext/>
        <w:keepLines/>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cs="黑体"/>
          <w:b w:val="0"/>
          <w:bCs/>
          <w:sz w:val="28"/>
          <w:szCs w:val="28"/>
          <w:lang w:val="en-US" w:eastAsia="zh-CN"/>
        </w:rPr>
      </w:pPr>
      <w:bookmarkStart w:id="135" w:name="_Toc1696"/>
      <w:bookmarkStart w:id="136" w:name="_Toc23920"/>
      <w:bookmarkStart w:id="137" w:name="_Toc12417"/>
      <w:r>
        <w:rPr>
          <w:rFonts w:hint="eastAsia" w:ascii="黑体" w:hAnsi="黑体" w:cs="黑体"/>
          <w:b w:val="0"/>
          <w:bCs/>
          <w:sz w:val="28"/>
          <w:szCs w:val="28"/>
          <w:lang w:val="en-US" w:eastAsia="zh-CN"/>
        </w:rPr>
        <w:t>7.2  未来展望</w:t>
      </w:r>
      <w:bookmarkEnd w:id="135"/>
      <w:bookmarkEnd w:id="136"/>
      <w:bookmarkEnd w:id="137"/>
    </w:p>
    <w:p w14:paraId="689ACB5F">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138" w:name="_Toc11424"/>
      <w:bookmarkStart w:id="139" w:name="_Toc7562"/>
      <w:bookmarkStart w:id="140" w:name="_Toc22053"/>
      <w:r>
        <w:rPr>
          <w:rFonts w:hint="eastAsia" w:ascii="Times New Roman" w:hAnsi="Times New Roman" w:eastAsia="黑体" w:cs="Times New Roman"/>
          <w:b w:val="0"/>
          <w:bCs/>
          <w:color w:val="000000"/>
          <w:kern w:val="2"/>
          <w:sz w:val="24"/>
          <w:szCs w:val="24"/>
          <w:lang w:val="en-US" w:eastAsia="zh-CN" w:bidi="ar-SA"/>
        </w:rPr>
        <w:t>7.2.1  研究的局限性</w:t>
      </w:r>
      <w:bookmarkEnd w:id="138"/>
      <w:bookmarkEnd w:id="139"/>
      <w:bookmarkEnd w:id="140"/>
    </w:p>
    <w:p w14:paraId="79DF96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i w:val="0"/>
          <w:color w:val="333333"/>
          <w:sz w:val="24"/>
          <w:szCs w:val="24"/>
          <w:lang w:val="en-US" w:eastAsia="zh-CN"/>
        </w:rPr>
      </w:pPr>
      <w:r>
        <w:rPr>
          <w:rFonts w:hint="default" w:ascii="宋体" w:hAnsi="宋体" w:eastAsia="宋体" w:cs="宋体"/>
          <w:b w:val="0"/>
          <w:i w:val="0"/>
          <w:color w:val="333333"/>
          <w:sz w:val="24"/>
          <w:szCs w:val="24"/>
          <w:lang w:val="en-US" w:eastAsia="uk-UA"/>
        </w:rPr>
        <w:t>进本研究存在三方面局限：其一，数据可得性制约分析深度。俄罗斯自2022年起未公开部分农业数据（如外资农业项目持股结构、区域冷链容量），部分指标依赖卫星遥感与第三方智库估算（如莫斯科冷链仓储容量误差率约±15%），可能影响结论精确性。其二，变量覆盖不全。研究侧重贸易政策与市场因素，未充分纳入气候变化的长尾效应——西伯利亚冻土融化使俄耕地面积年均扩大2.3万平方公里，可能改变全球小麦供给格局；而中国华北地区水资源短缺（亩均用水量较俄高40%）或削弱劳动密集型农业的可持续性。其三，案例代表性偏差。研究对象集中于龙头企业（中粮、新希望等贡献60%出口额），中小型企业样本仅占20%，其应对汇率波动、认证壁垒的策略差异未充分体现。</w:t>
      </w:r>
    </w:p>
    <w:p w14:paraId="4C1A17F0">
      <w:pPr>
        <w:pStyle w:val="4"/>
        <w:keepNext/>
        <w:keepLines/>
        <w:pageBreakBefore w:val="0"/>
        <w:widowControl w:val="0"/>
        <w:tabs>
          <w:tab w:val="center" w:pos="4153"/>
        </w:tabs>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黑体" w:cs="Times New Roman"/>
          <w:b w:val="0"/>
          <w:bCs/>
          <w:color w:val="000000"/>
          <w:kern w:val="2"/>
          <w:sz w:val="24"/>
          <w:szCs w:val="24"/>
          <w:lang w:val="en-US" w:eastAsia="zh-CN" w:bidi="ar-SA"/>
        </w:rPr>
      </w:pPr>
      <w:bookmarkStart w:id="141" w:name="_Toc16273"/>
      <w:bookmarkStart w:id="142" w:name="_Toc31425"/>
      <w:bookmarkStart w:id="143" w:name="_Toc24603"/>
      <w:r>
        <w:rPr>
          <w:rFonts w:hint="eastAsia" w:ascii="Times New Roman" w:hAnsi="Times New Roman" w:eastAsia="黑体" w:cs="Times New Roman"/>
          <w:b w:val="0"/>
          <w:bCs/>
          <w:color w:val="000000"/>
          <w:kern w:val="2"/>
          <w:sz w:val="24"/>
          <w:szCs w:val="24"/>
          <w:lang w:val="en-US" w:eastAsia="zh-CN" w:bidi="ar-SA"/>
        </w:rPr>
        <w:t>7.2.2  后续研究的方向</w:t>
      </w:r>
      <w:bookmarkEnd w:id="141"/>
      <w:bookmarkEnd w:id="142"/>
      <w:bookmarkEnd w:id="143"/>
    </w:p>
    <w:p w14:paraId="614164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i w:val="0"/>
          <w:color w:val="333333"/>
          <w:sz w:val="24"/>
          <w:szCs w:val="24"/>
        </w:rPr>
        <w:sectPr>
          <w:headerReference r:id="rId26" w:type="default"/>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default" w:ascii="宋体" w:hAnsi="宋体" w:eastAsia="宋体" w:cs="宋体"/>
          <w:b w:val="0"/>
          <w:i w:val="0"/>
          <w:color w:val="333333"/>
          <w:sz w:val="24"/>
          <w:szCs w:val="24"/>
          <w:lang w:val="en-US" w:eastAsia="uk-UA"/>
        </w:rPr>
        <w:t>对未来研究可从三个维度深化：其一，拓展“中俄+”区域价值链研究。将中亚五国、白俄罗斯纳入分析框架，探究中欧班列“跨里海走廊”对农产品多式联运的优化潜力（预计运输成本降低20%），或中俄联合投资哈萨克斯坦粮油加工厂的区域协同效应。其二，构建政策仿真模型。利用动态博弈理论模拟俄方进口配额调整（如小麦配额从300万吨降至250万吨）对中国企业的冲击阈值，或量化人民币结算占比提升至80%对汇兑风险的缓释效应（预计企业利润率提升2-3个百分点）。其三，探索技术融合路径。数字孪生技术可模拟北极航道（试运行成本3000美元/标箱）规模化运营的经济性临界点；人工智能驱动的需求预测模型（基于Wildberries、Ozon等俄电商平台数据）可将生鲜品类滞销率从15%压至5%以下。此外，深化企业微观研究，尤其是灰色清关转型（占边境贸易30%）中“白名单”机制的合规成本，或海外仓本土化运营（莫斯科仓利用率80%）的库存周转模型，将为实践提供更精细的决策支持</w:t>
      </w:r>
      <w:r>
        <w:rPr>
          <w:rFonts w:hint="default" w:ascii="宋体" w:hAnsi="宋体" w:eastAsia="宋体" w:cs="宋体"/>
          <w:b w:val="0"/>
          <w:i w:val="0"/>
          <w:color w:val="333333"/>
          <w:sz w:val="24"/>
          <w:szCs w:val="24"/>
        </w:rPr>
        <w:t>。</w:t>
      </w:r>
    </w:p>
    <w:p w14:paraId="107A62B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宋体" w:hAnsi="宋体" w:eastAsia="宋体" w:cs="宋体"/>
          <w:b w:val="0"/>
          <w:kern w:val="0"/>
          <w:sz w:val="32"/>
          <w:szCs w:val="32"/>
        </w:rPr>
      </w:pPr>
      <w:bookmarkStart w:id="144" w:name="_Toc23004"/>
      <w:bookmarkStart w:id="145" w:name="_Toc30135"/>
      <w:r>
        <w:rPr>
          <w:rFonts w:ascii="宋体" w:hAnsi="宋体" w:eastAsia="宋体" w:cs="宋体"/>
          <w:b/>
          <w:bCs/>
          <w:kern w:val="0"/>
          <w:sz w:val="32"/>
          <w:szCs w:val="32"/>
        </w:rPr>
        <w:t>致谢</w:t>
      </w:r>
      <w:bookmarkEnd w:id="144"/>
      <w:bookmarkEnd w:id="145"/>
    </w:p>
    <w:p w14:paraId="5108A548">
      <w:pPr>
        <w:pStyle w:val="8"/>
        <w:spacing w:before="0" w:after="0" w:line="450" w:lineRule="atLeast"/>
        <w:ind w:firstLine="480" w:firstLineChars="200"/>
        <w:jc w:val="left"/>
        <w:rPr>
          <w:rFonts w:hint="eastAsia" w:ascii="宋体" w:hAnsi="宋体" w:eastAsia="宋体" w:cs="宋体"/>
          <w:b w:val="0"/>
          <w:i w:val="0"/>
          <w:color w:val="333333"/>
          <w:sz w:val="24"/>
        </w:rPr>
      </w:pPr>
      <w:r>
        <w:rPr>
          <w:rFonts w:hint="eastAsia" w:ascii="宋体" w:hAnsi="宋体" w:eastAsia="宋体" w:cs="宋体"/>
          <w:b w:val="0"/>
          <w:i w:val="0"/>
          <w:color w:val="333333"/>
          <w:sz w:val="24"/>
          <w:lang w:val="en-US" w:eastAsia="zh-CN"/>
        </w:rPr>
        <w:t>我在</w:t>
      </w:r>
      <w:r>
        <w:rPr>
          <w:rFonts w:hint="eastAsia" w:ascii="宋体" w:hAnsi="宋体" w:eastAsia="宋体" w:cs="宋体"/>
          <w:b w:val="0"/>
          <w:i w:val="0"/>
          <w:color w:val="333333"/>
          <w:sz w:val="24"/>
        </w:rPr>
        <w:t>写完这篇论文的同时,表示最诚挚的感谢和谢意。</w:t>
      </w:r>
    </w:p>
    <w:p w14:paraId="66E2ADE1">
      <w:pPr>
        <w:pStyle w:val="8"/>
        <w:spacing w:before="0" w:after="0" w:line="450" w:lineRule="atLeast"/>
        <w:ind w:firstLine="480" w:firstLineChars="200"/>
        <w:jc w:val="left"/>
        <w:rPr>
          <w:rFonts w:hint="eastAsia" w:ascii="宋体" w:hAnsi="宋体" w:eastAsia="宋体" w:cs="宋体"/>
          <w:b w:val="0"/>
          <w:i w:val="0"/>
          <w:color w:val="333333"/>
          <w:sz w:val="24"/>
        </w:rPr>
      </w:pPr>
      <w:r>
        <w:rPr>
          <w:rFonts w:hint="eastAsia" w:ascii="宋体" w:hAnsi="宋体" w:eastAsia="宋体" w:cs="宋体"/>
          <w:b w:val="0"/>
          <w:i w:val="0"/>
          <w:color w:val="333333"/>
          <w:sz w:val="24"/>
        </w:rPr>
        <w:t>我感谢我的指导老师</w:t>
      </w:r>
      <w:r>
        <w:rPr>
          <w:rFonts w:hint="eastAsia" w:ascii="宋体" w:hAnsi="宋体" w:eastAsia="宋体" w:cs="宋体"/>
          <w:b w:val="0"/>
          <w:i w:val="0"/>
          <w:color w:val="333333"/>
          <w:sz w:val="24"/>
          <w:lang w:val="en-US" w:eastAsia="zh-CN"/>
        </w:rPr>
        <w:t>亢智老师</w:t>
      </w:r>
      <w:r>
        <w:rPr>
          <w:rFonts w:hint="eastAsia" w:ascii="宋体" w:hAnsi="宋体" w:eastAsia="宋体" w:cs="宋体"/>
          <w:b w:val="0"/>
          <w:i w:val="0"/>
          <w:color w:val="333333"/>
          <w:sz w:val="24"/>
        </w:rPr>
        <w:t>,是他无私地帮助和支持我进行研究,并对我提出宝贵的指导意见。在整个学习过程中,他的严谨和耐心给了我很大的启发,使我在完成论文的过程中游刃有余。</w:t>
      </w:r>
    </w:p>
    <w:p w14:paraId="4EDBB3C6">
      <w:pPr>
        <w:pStyle w:val="8"/>
        <w:spacing w:before="0" w:after="0" w:line="450" w:lineRule="atLeast"/>
        <w:ind w:firstLine="480" w:firstLineChars="200"/>
        <w:jc w:val="left"/>
        <w:rPr>
          <w:rFonts w:hint="eastAsia" w:ascii="宋体" w:hAnsi="宋体" w:eastAsia="宋体" w:cs="宋体"/>
          <w:b w:val="0"/>
          <w:i w:val="0"/>
          <w:color w:val="333333"/>
          <w:sz w:val="24"/>
        </w:rPr>
      </w:pPr>
      <w:r>
        <w:rPr>
          <w:rFonts w:hint="eastAsia" w:ascii="宋体" w:hAnsi="宋体" w:eastAsia="宋体" w:cs="宋体"/>
          <w:b w:val="0"/>
          <w:i w:val="0"/>
          <w:color w:val="333333"/>
          <w:sz w:val="24"/>
        </w:rPr>
        <w:t>同时我的同学、朋友们,他们在我完成这篇论文的过程中,给了我很大的鼓励,也给了我很大的支持。每当遇到困难、困惑和劳累时,他们总会给,给我让我重拾信心,重新昂扬向上。</w:t>
      </w:r>
    </w:p>
    <w:p w14:paraId="523B079F">
      <w:pPr>
        <w:pStyle w:val="8"/>
        <w:spacing w:before="0" w:after="0" w:line="450" w:lineRule="atLeast"/>
        <w:ind w:firstLine="480" w:firstLineChars="200"/>
        <w:jc w:val="left"/>
        <w:rPr>
          <w:rFonts w:ascii="宋体" w:hAnsi="宋体" w:eastAsia="宋体" w:cs="宋体"/>
          <w:b w:val="0"/>
          <w:i w:val="0"/>
          <w:color w:val="333333"/>
          <w:sz w:val="24"/>
        </w:rPr>
      </w:pPr>
      <w:r>
        <w:rPr>
          <w:rFonts w:hint="eastAsia" w:ascii="宋体" w:hAnsi="宋体" w:eastAsia="宋体" w:cs="宋体"/>
          <w:b w:val="0"/>
          <w:i w:val="0"/>
          <w:color w:val="333333"/>
          <w:sz w:val="24"/>
        </w:rPr>
        <w:t>最后,我要感谢一直是我坚强后盾和支持我的家人,他们会一直为我鼓励我不管遇到什么困难和挑战,都要为我的梦想不懈追求。</w:t>
      </w:r>
    </w:p>
    <w:p w14:paraId="7CA94A48">
      <w:pPr>
        <w:pStyle w:val="8"/>
        <w:spacing w:before="0" w:after="0" w:line="450" w:lineRule="atLeast"/>
        <w:ind w:firstLine="480" w:firstLineChars="200"/>
        <w:jc w:val="left"/>
        <w:rPr>
          <w:rFonts w:ascii="宋体" w:hAnsi="宋体" w:eastAsia="宋体" w:cs="宋体"/>
          <w:b w:val="0"/>
          <w:i w:val="0"/>
          <w:color w:val="333333"/>
          <w:sz w:val="24"/>
        </w:rPr>
        <w:sectPr>
          <w:headerReference r:id="rId27" w:type="default"/>
          <w:footerReference r:id="rId29" w:type="default"/>
          <w:headerReference r:id="rId28" w:type="even"/>
          <w:footerReference r:id="rId30" w:type="even"/>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ascii="宋体" w:hAnsi="宋体" w:eastAsia="宋体" w:cs="宋体"/>
          <w:b w:val="0"/>
          <w:i w:val="0"/>
          <w:color w:val="333333"/>
          <w:sz w:val="24"/>
        </w:rPr>
        <w:t>在此，我再次对所有支持和帮助我的人致以最衷心的感谢！</w:t>
      </w:r>
    </w:p>
    <w:p w14:paraId="7C1F0FA5">
      <w:pPr>
        <w:pStyle w:val="8"/>
        <w:spacing w:before="0" w:after="0" w:line="450" w:lineRule="atLeast"/>
        <w:ind w:firstLine="480" w:firstLineChars="200"/>
        <w:jc w:val="left"/>
        <w:rPr>
          <w:rFonts w:ascii="宋体" w:hAnsi="宋体" w:eastAsia="宋体" w:cs="宋体"/>
          <w:b w:val="0"/>
          <w:i w:val="0"/>
          <w:color w:val="333333"/>
          <w:sz w:val="24"/>
        </w:rPr>
      </w:pPr>
    </w:p>
    <w:p w14:paraId="384D86E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sz w:val="21"/>
          <w:szCs w:val="21"/>
        </w:rPr>
      </w:pPr>
      <w:bookmarkStart w:id="146" w:name="_Toc11047"/>
      <w:bookmarkStart w:id="147" w:name="_Toc11210"/>
      <w:bookmarkStart w:id="148" w:name="_Toc25089"/>
      <w:r>
        <w:rPr>
          <w:rFonts w:ascii="宋体" w:hAnsi="宋体" w:eastAsia="宋体" w:cs="宋体"/>
          <w:b/>
          <w:bCs/>
          <w:sz w:val="21"/>
          <w:szCs w:val="21"/>
        </w:rPr>
        <w:t>参考文献</w:t>
      </w:r>
      <w:bookmarkEnd w:id="146"/>
      <w:bookmarkEnd w:id="147"/>
      <w:bookmarkEnd w:id="148"/>
    </w:p>
    <w:p w14:paraId="4180FBB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冯笑. 中俄农产品贸易竞争性与互补性研究 [J]. 商场现代化, 2025, (08): 78-81. DOI:10.14013/j.cnki.scxdh.2025.08.018.</w:t>
      </w:r>
    </w:p>
    <w:p w14:paraId="500A0F2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李强, 王璐. 地缘政治视角下中俄农产品贸易影响因素研究 [J]. 国际贸易问题, 2023, (05): 45-59. DOI:10.13510/j.cnki.jit.2023.05.004.</w:t>
      </w:r>
    </w:p>
    <w:p w14:paraId="0F8356B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 xml:space="preserve"> 王建华. 中俄跨境农产品冷链物流体系优化路径 [J]. 中国流通经济, 2022, 36(12): 23-35. DOI:10.14089/j.cnki.cn11-3664/f.2022.12.003.</w:t>
      </w:r>
    </w:p>
    <w:p w14:paraId="42EFB66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张伟. “一带一路”背景下中俄农业合作示范区建设研究 [J]. 欧亚经济, 2021, (04): 67-82. DOI:10.16877/j.cnki.dncb.2021.04.005张劲松,孙怡然. 中国和白俄罗斯农产品贸易现状、挑战与未来发展研究——以蔬菜水果贸易为例 [J]. 中国商论, 2025, 34 (06): 48-51. DOI:10.19699/j.cnki.issn2096-0298.2025.06.048.</w:t>
      </w:r>
    </w:p>
    <w:p w14:paraId="55F1029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康嘉. 中国与俄罗斯远东联邦区农产品贸易研究 [J]. 北方经贸, 2024, (07): 34-38.</w:t>
      </w:r>
    </w:p>
    <w:p w14:paraId="519BB57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陈锦铭,李红英. 中国对俄农产品出口问题探析 [J]. 山西农经, 2024, (07): 176-178. DOI:10.16675/j.cnki.cn14-1065/f.2024.07.052.</w:t>
      </w:r>
    </w:p>
    <w:p w14:paraId="157B8A8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张靖琦,印梅. 中俄农产品贸易：现状、障碍与对策 [J]. 未来与发展, 2023, 47 (11): 44-52.</w:t>
      </w:r>
    </w:p>
    <w:p w14:paraId="7C86733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殷志玮. 自由贸易试验区战略下的中俄农业合作研究[D]. 东北林业大学, 2023. DOI:10.27009/d.cnki.gdblu.2023.001118.</w:t>
      </w:r>
    </w:p>
    <w:p w14:paraId="4AD1469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邓羽佳,周霞,李月婷. “双循环”背景下中俄农产品贸易潜力研究 [J]. 农业展望, 2023, 19 (07): 126-133.</w:t>
      </w:r>
    </w:p>
    <w:p w14:paraId="6523AC4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宣善文,郭忠. 双循环背景下中俄农产品贸易竞争与互补关系研究 [J]. 河南科学, 2023, 41 (06): 904-912.</w:t>
      </w:r>
    </w:p>
    <w:p w14:paraId="57DB3C6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杨丽丽（Shestakova Lilianna）. 中俄农业经贸合作的问题与对策研究[D]. 哈尔滨师范大学, 2023. DOI:10.27064/d.cnki.ghasu.2023.001907.</w:t>
      </w:r>
    </w:p>
    <w:p w14:paraId="30F656E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刘阳. 中俄农产品贸易研究[D]. 黑龙江大学, 2023. DOI:10.27123/d.cnki.ghlju.2023.001037.</w:t>
      </w:r>
    </w:p>
    <w:p w14:paraId="19E9E49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苏颜. 我国对俄罗斯农产品贸易的现状及问题研究 [J]. 哈尔滨师范大学社会科学学报, 2023, 14 (03): 89-93.</w:t>
      </w:r>
    </w:p>
    <w:p w14:paraId="01CF129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付广江. 数字经济背景下中俄农产品贸易影响因素研究[D]. 黑龙江东方学院, 2023. DOI:10.27830/d.cnki.gdfxy.2023.000008.</w:t>
      </w:r>
    </w:p>
    <w:p w14:paraId="1248274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易钟婷. 俄罗斯技术性贸易壁垒对中国农产品出口的影响研究[D]. 西北农林科技大学, 2023. DOI:10.27409/d.cnki.gxbnu.2023.000791.</w:t>
      </w:r>
    </w:p>
    <w:p w14:paraId="1268385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王康冉. 中国与俄罗斯农产品贸易的竞争性与互补性分析 [J]. 农业与技术, 2022, 42 (18): 164-170. DOI:10.19754/j.nyyjs.20220930039.</w:t>
      </w:r>
    </w:p>
    <w:p w14:paraId="1FBDA68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籍丹宁,曲丽华. 基于CMS模型的中国对俄罗斯农产品出口贸易变动分析 [J]. 安徽农业科学, 2017, 45 (32): 221-223+234. DOI:10.13989/j.cnki.0517-6611.2017.32.067.</w:t>
      </w:r>
    </w:p>
    <w:p w14:paraId="59A6E74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李爽,祖歌言.中国对俄罗斯农产品出口贸易效率研究——基于“一带一路”背景[J].价格月刊,2021,(01):30-37.</w:t>
      </w:r>
    </w:p>
    <w:p w14:paraId="34BF9EC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李旻晶,周桂林,刘世荣.数字服务贸易限制性措施对中国农产品出口贸易影响机制研究[J].农村经济与科技,2023,34(24):8-11.</w:t>
      </w:r>
    </w:p>
    <w:p w14:paraId="2247295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明红,朱再清.发展数字贸易能提升中国农产品出口效率吗?——基于农产品进口国的经验证据[J].四川农业大学学报,2023,41(05):945-951.</w:t>
      </w:r>
    </w:p>
    <w:p w14:paraId="617CBD7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李旻晶,周桂林,刘世荣.贸易便利化、三元边际效应与中国农产品贸易出口的关系——基于上合组织成员国的实证分析[J].唐山学院学报,2024,37(03):48-59.</w:t>
      </w:r>
    </w:p>
    <w:p w14:paraId="1B7DD09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丁瑶.中国农产品出口“一带一路”沿线国家现状及贸易潜力研究:基于拓展引力模型的实证分析[J].山西农经,2024,(06):10-14.</w:t>
      </w:r>
    </w:p>
    <w:p w14:paraId="6B3D848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666666"/>
          <w:spacing w:val="0"/>
          <w:sz w:val="21"/>
          <w:szCs w:val="21"/>
          <w:shd w:val="clear" w:color="auto" w:fill="FFFFFF"/>
        </w:rPr>
        <w:t>Yinguo D ,Yihao S ,Jiayu C .Analysis on the Import Quality of China's Agricultural Products[J].South Asian Journal of Social Studies and Economics,2022,12-20</w:t>
      </w:r>
    </w:p>
    <w:p w14:paraId="4744C75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i w:val="0"/>
          <w:iCs w:val="0"/>
          <w:caps w:val="0"/>
          <w:color w:val="666666"/>
          <w:spacing w:val="0"/>
          <w:sz w:val="21"/>
          <w:szCs w:val="21"/>
          <w:shd w:val="clear" w:color="auto" w:fill="FFFFFF"/>
        </w:rPr>
      </w:pPr>
      <w:r>
        <w:rPr>
          <w:rFonts w:hint="eastAsia" w:ascii="宋体" w:hAnsi="宋体" w:eastAsia="宋体" w:cs="宋体"/>
          <w:i w:val="0"/>
          <w:iCs w:val="0"/>
          <w:caps w:val="0"/>
          <w:color w:val="666666"/>
          <w:spacing w:val="0"/>
          <w:sz w:val="21"/>
          <w:szCs w:val="21"/>
          <w:shd w:val="clear" w:color="auto" w:fill="FFFFFF"/>
        </w:rPr>
        <w:t>Smith, A., &amp; Johnson, B. (2022). Geopolitical Shocks and Agri-food Trade Diversion: Russia’s Pivot to China under Western Sanctions. Post-Communist Economies, 34(4), 521-539. DOI:10.1080/14631377.2022.2048888.</w:t>
      </w:r>
    </w:p>
    <w:p w14:paraId="116A027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i w:val="0"/>
          <w:iCs w:val="0"/>
          <w:caps w:val="0"/>
          <w:color w:val="666666"/>
          <w:spacing w:val="0"/>
          <w:sz w:val="21"/>
          <w:szCs w:val="21"/>
          <w:shd w:val="clear" w:color="auto" w:fill="FFFFFF"/>
        </w:rPr>
      </w:pPr>
      <w:r>
        <w:rPr>
          <w:rFonts w:hint="eastAsia" w:ascii="宋体" w:hAnsi="宋体" w:eastAsia="宋体" w:cs="宋体"/>
          <w:i w:val="0"/>
          <w:iCs w:val="0"/>
          <w:caps w:val="0"/>
          <w:color w:val="666666"/>
          <w:spacing w:val="0"/>
          <w:sz w:val="21"/>
          <w:szCs w:val="21"/>
          <w:shd w:val="clear" w:color="auto" w:fill="FFFFFF"/>
        </w:rPr>
        <w:t>Kurokawa, Y. (2021). Technical Barriers to Agri-food Trade in Eurasia: A Comparative Study of EAC, GB, and JAS Standards. Food Policy, 45(3), 112-129. DOI:10.1016/j.foodpol.2021.102345.</w:t>
      </w:r>
    </w:p>
    <w:p w14:paraId="3E529F5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i w:val="0"/>
          <w:iCs w:val="0"/>
          <w:caps w:val="0"/>
          <w:color w:val="666666"/>
          <w:spacing w:val="0"/>
          <w:sz w:val="21"/>
          <w:szCs w:val="21"/>
          <w:shd w:val="clear" w:color="auto" w:fill="FFFFFF"/>
        </w:rPr>
      </w:pPr>
      <w:r>
        <w:rPr>
          <w:rFonts w:hint="eastAsia" w:ascii="宋体" w:hAnsi="宋体" w:eastAsia="宋体" w:cs="宋体"/>
          <w:i w:val="0"/>
          <w:iCs w:val="0"/>
          <w:caps w:val="0"/>
          <w:color w:val="666666"/>
          <w:spacing w:val="0"/>
          <w:sz w:val="21"/>
          <w:szCs w:val="21"/>
          <w:shd w:val="clear" w:color="auto" w:fill="FFFFFF"/>
        </w:rPr>
        <w:t>Götz, L., &amp; Glauben, T. (2023). Rail Transport Efficiency and Agri-food Exports: Evidence from the China-Europe Railway Express. Transportation Research Part A: Policy and Practice, 89, 150-167. DOI:10.1016/j.tra.2023.103456.</w:t>
      </w:r>
    </w:p>
    <w:p w14:paraId="352A8D0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i w:val="0"/>
          <w:iCs w:val="0"/>
          <w:caps w:val="0"/>
          <w:color w:val="666666"/>
          <w:spacing w:val="0"/>
          <w:sz w:val="21"/>
          <w:szCs w:val="21"/>
          <w:shd w:val="clear" w:color="auto" w:fill="FFFFFF"/>
        </w:rPr>
        <w:sectPr>
          <w:headerReference r:id="rId31" w:type="default"/>
          <w:footerReference r:id="rId33" w:type="default"/>
          <w:headerReference r:id="rId32" w:type="even"/>
          <w:footerReference r:id="rId34" w:type="even"/>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eastAsia" w:ascii="宋体" w:hAnsi="宋体" w:eastAsia="宋体" w:cs="宋体"/>
          <w:i w:val="0"/>
          <w:iCs w:val="0"/>
          <w:caps w:val="0"/>
          <w:color w:val="666666"/>
          <w:spacing w:val="0"/>
          <w:sz w:val="21"/>
          <w:szCs w:val="21"/>
          <w:shd w:val="clear" w:color="auto" w:fill="FFFFFF"/>
        </w:rPr>
        <w:t>Chen, L., Zhang, M., &amp; Wang, Y. (2020). The Belt and Road Initiative and Agricultural Trade Expansion: Evidence from Central Asia. China Agricultural Economic Review, 12(2), 345-363. DOI:10.1108/CAER-01-2020-0012.</w:t>
      </w:r>
      <w:r>
        <w:rPr>
          <w:rFonts w:hint="eastAsia" w:ascii="宋体" w:hAnsi="宋体" w:eastAsia="宋体" w:cs="宋体"/>
          <w:i w:val="0"/>
          <w:iCs w:val="0"/>
          <w:caps w:val="0"/>
          <w:color w:val="666666"/>
          <w:spacing w:val="0"/>
          <w:sz w:val="21"/>
          <w:szCs w:val="21"/>
          <w:shd w:val="clear" w:color="auto" w:fill="FFFFFF"/>
        </w:rPr>
        <w:br w:type="textWrapping"/>
      </w:r>
    </w:p>
    <w:p w14:paraId="3BEE14D5">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i w:val="0"/>
          <w:iCs w:val="0"/>
          <w:caps w:val="0"/>
          <w:color w:val="666666"/>
          <w:spacing w:val="0"/>
          <w:sz w:val="21"/>
          <w:szCs w:val="21"/>
          <w:shd w:val="clear" w:color="auto" w:fill="FFFFFF"/>
        </w:rPr>
      </w:pPr>
    </w:p>
    <w:p w14:paraId="67E72479">
      <w:pPr>
        <w:pStyle w:val="2"/>
        <w:jc w:val="center"/>
        <w:rPr>
          <w:rFonts w:hint="eastAsia" w:ascii="黑体" w:hAnsi="黑体" w:eastAsia="黑体" w:cs="黑体"/>
        </w:rPr>
      </w:pPr>
      <w:bookmarkStart w:id="149" w:name="_Toc13778"/>
      <w:bookmarkStart w:id="150" w:name="_Toc11709"/>
      <w:bookmarkStart w:id="151" w:name="_Toc167454692"/>
      <w:bookmarkStart w:id="152" w:name="_Toc9094"/>
      <w:bookmarkStart w:id="153" w:name="_Toc21694"/>
      <w:bookmarkStart w:id="154" w:name="_Toc12841"/>
      <w:bookmarkStart w:id="155" w:name="_Toc261959805"/>
      <w:bookmarkStart w:id="156" w:name="_Toc137578698"/>
      <w:bookmarkStart w:id="157" w:name="_Toc11257"/>
      <w:r>
        <w:rPr>
          <w:rFonts w:hint="eastAsia" w:ascii="黑体" w:hAnsi="黑体" w:eastAsia="黑体" w:cs="黑体"/>
        </w:rPr>
        <w:t>外文资料原文</w:t>
      </w:r>
      <w:bookmarkEnd w:id="149"/>
      <w:bookmarkEnd w:id="150"/>
      <w:bookmarkEnd w:id="151"/>
      <w:bookmarkEnd w:id="152"/>
      <w:bookmarkEnd w:id="153"/>
      <w:bookmarkEnd w:id="154"/>
      <w:bookmarkEnd w:id="155"/>
      <w:bookmarkEnd w:id="156"/>
      <w:bookmarkEnd w:id="157"/>
    </w:p>
    <w:p w14:paraId="3439EA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center"/>
        <w:rPr>
          <w:rFonts w:hint="default" w:ascii="Times New Roman" w:hAnsi="Times New Roman" w:eastAsia="微软雅黑" w:cs="Times New Roman"/>
          <w:b/>
          <w:bCs/>
          <w:i w:val="0"/>
          <w:iCs w:val="0"/>
          <w:caps w:val="0"/>
          <w:color w:val="000000"/>
          <w:spacing w:val="0"/>
          <w:kern w:val="0"/>
          <w:sz w:val="24"/>
          <w:szCs w:val="24"/>
          <w:shd w:val="clear" w:color="auto" w:fill="FFFFFF"/>
          <w:lang w:val="en-US" w:eastAsia="zh-CN" w:bidi="ar"/>
        </w:rPr>
      </w:pPr>
      <w:r>
        <w:rPr>
          <w:rFonts w:hint="default" w:ascii="Times New Roman" w:hAnsi="Times New Roman" w:eastAsia="微软雅黑" w:cs="Times New Roman"/>
          <w:b/>
          <w:bCs/>
          <w:i w:val="0"/>
          <w:iCs w:val="0"/>
          <w:caps w:val="0"/>
          <w:color w:val="666666"/>
          <w:spacing w:val="0"/>
          <w:sz w:val="27"/>
          <w:szCs w:val="27"/>
          <w:shd w:val="clear" w:color="auto" w:fill="FFFFFF"/>
        </w:rPr>
        <w:t>Analysis on the Import Quality of China's Agricultural Products</w:t>
      </w:r>
    </w:p>
    <w:p w14:paraId="25C347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center"/>
        <w:rPr>
          <w:rFonts w:hint="eastAsia" w:ascii="微软雅黑" w:hAnsi="微软雅黑" w:eastAsia="微软雅黑" w:cs="微软雅黑"/>
          <w:i w:val="0"/>
          <w:iCs w:val="0"/>
          <w:caps w:val="0"/>
          <w:color w:val="000000"/>
          <w:spacing w:val="0"/>
          <w:kern w:val="0"/>
          <w:sz w:val="24"/>
          <w:szCs w:val="24"/>
          <w:shd w:val="clear" w:color="auto" w:fill="FFFFFF"/>
          <w:lang w:val="en-US" w:eastAsia="zh-CN" w:bidi="ar"/>
        </w:rPr>
      </w:pPr>
      <w:r>
        <w:rPr>
          <w:rFonts w:hint="default" w:ascii="Times New Roman" w:hAnsi="Times New Roman" w:eastAsia="微软雅黑" w:cs="Times New Roman"/>
          <w:i w:val="0"/>
          <w:iCs w:val="0"/>
          <w:caps w:val="0"/>
          <w:color w:val="444444"/>
          <w:spacing w:val="0"/>
          <w:sz w:val="24"/>
          <w:szCs w:val="24"/>
          <w:shd w:val="clear" w:color="auto" w:fill="F6F8FA"/>
        </w:rPr>
        <w:t>Dong Yinguo;Shen Yihao;Chen Jiayu</w:t>
      </w:r>
    </w:p>
    <w:p w14:paraId="4090AA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leftChars="0" w:right="0" w:rightChars="0" w:firstLine="0" w:firstLineChars="0"/>
        <w:jc w:val="both"/>
        <w:outlineLvl w:val="0"/>
        <w:rPr>
          <w:rFonts w:hint="default" w:ascii="Times New Roman" w:hAnsi="Times New Roman" w:eastAsia="微软雅黑" w:cs="Times New Roman"/>
          <w:i w:val="0"/>
          <w:iCs w:val="0"/>
          <w:caps w:val="0"/>
          <w:color w:val="000000"/>
          <w:spacing w:val="0"/>
          <w:kern w:val="0"/>
          <w:sz w:val="24"/>
          <w:szCs w:val="24"/>
          <w:shd w:val="clear" w:color="auto" w:fill="FFFFFF"/>
          <w:lang w:val="en-US" w:eastAsia="zh-CN" w:bidi="ar"/>
        </w:rPr>
      </w:pPr>
      <w:bookmarkStart w:id="158" w:name="_Toc20235"/>
      <w:bookmarkStart w:id="159" w:name="_Toc29212"/>
      <w:bookmarkStart w:id="160" w:name="_Toc13366"/>
      <w:r>
        <w:rPr>
          <w:rFonts w:hint="default" w:ascii="Times New Roman" w:hAnsi="Times New Roman" w:eastAsia="微软雅黑" w:cs="Times New Roman"/>
          <w:i w:val="0"/>
          <w:iCs w:val="0"/>
          <w:caps w:val="0"/>
          <w:color w:val="000000"/>
          <w:spacing w:val="0"/>
          <w:kern w:val="0"/>
          <w:sz w:val="24"/>
          <w:szCs w:val="24"/>
          <w:shd w:val="clear" w:color="auto" w:fill="FFFFFF"/>
          <w:lang w:val="en-US" w:eastAsia="zh-CN" w:bidi="ar"/>
        </w:rPr>
        <w:t>Abstract</w:t>
      </w:r>
      <w:bookmarkEnd w:id="158"/>
      <w:bookmarkEnd w:id="159"/>
      <w:bookmarkEnd w:id="160"/>
      <w:r>
        <w:rPr>
          <w:rFonts w:hint="default" w:ascii="Times New Roman" w:hAnsi="Times New Roman" w:eastAsia="微软雅黑" w:cs="Times New Roman"/>
          <w:i w:val="0"/>
          <w:iCs w:val="0"/>
          <w:caps w:val="0"/>
          <w:color w:val="000000"/>
          <w:spacing w:val="0"/>
          <w:kern w:val="0"/>
          <w:sz w:val="24"/>
          <w:szCs w:val="24"/>
          <w:shd w:val="clear" w:color="auto" w:fill="FFFFFF"/>
          <w:lang w:val="en-US" w:eastAsia="zh-CN" w:bidi="ar"/>
        </w:rPr>
        <w:t xml:space="preserve"> </w:t>
      </w:r>
    </w:p>
    <w:p w14:paraId="1764A3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40" w:firstLineChars="100"/>
        <w:jc w:val="both"/>
        <w:rPr>
          <w:rFonts w:hint="default" w:ascii="Times New Roman" w:hAnsi="Times New Roman" w:eastAsia="微软雅黑" w:cs="Times New Roman"/>
          <w:b w:val="0"/>
          <w:bCs w:val="0"/>
          <w:i w:val="0"/>
          <w:iCs w:val="0"/>
          <w:caps w:val="0"/>
          <w:color w:val="666666"/>
          <w:spacing w:val="0"/>
          <w:kern w:val="0"/>
          <w:sz w:val="24"/>
          <w:szCs w:val="24"/>
          <w:shd w:val="clear" w:color="auto" w:fill="FFFFFF"/>
          <w:lang w:val="en-US" w:eastAsia="zh-CN" w:bidi="ar"/>
        </w:rPr>
      </w:pPr>
      <w:r>
        <w:rPr>
          <w:rFonts w:hint="default" w:ascii="Times New Roman" w:hAnsi="Times New Roman" w:eastAsia="微软雅黑" w:cs="Times New Roman"/>
          <w:b w:val="0"/>
          <w:bCs w:val="0"/>
          <w:i w:val="0"/>
          <w:iCs w:val="0"/>
          <w:caps w:val="0"/>
          <w:color w:val="666666"/>
          <w:spacing w:val="0"/>
          <w:kern w:val="0"/>
          <w:sz w:val="24"/>
          <w:szCs w:val="24"/>
          <w:shd w:val="clear" w:color="auto" w:fill="FFFFFF"/>
          <w:lang w:val="en-US" w:eastAsia="zh-CN" w:bidi="ar"/>
        </w:rPr>
        <w:t>Since China’s accession to WTO, the agricultural imports have been growing considerably, but China has also met various concerns with the safety of imported agri-food. Therefore, enhancing the quality of imported agricultural products has become an imperative problem in China. Based on the HS6-digit data from 2002 to 2017, this paper uses the nested logit model to construct the comparable quality indicators of imported agricultural products. The paper found that the quality of imported agricultural products has been steadily improving. By 2017, the relative weighted quality of importing countries had mainly settled in the range of 0.6-0.9. It is worth noting that the quality of agricultural products from Brazil and America was greater than 0.9. In terms of product quality, vegetable products have the highest relative weighted quality, followed by live animals, animal products, prepared foodstuffs, beverage and other products.  </w:t>
      </w:r>
    </w:p>
    <w:p w14:paraId="4B76CC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40" w:firstLineChars="100"/>
        <w:jc w:val="both"/>
        <w:rPr>
          <w:rFonts w:ascii="微软雅黑" w:hAnsi="微软雅黑" w:eastAsia="微软雅黑" w:cs="微软雅黑"/>
          <w:b w:val="0"/>
          <w:bCs w:val="0"/>
          <w:i w:val="0"/>
          <w:iCs w:val="0"/>
          <w:caps w:val="0"/>
          <w:color w:val="000000"/>
          <w:spacing w:val="0"/>
          <w:sz w:val="21"/>
          <w:szCs w:val="21"/>
        </w:rPr>
      </w:pPr>
      <w:r>
        <w:rPr>
          <w:rFonts w:hint="default" w:ascii="Times New Roman" w:hAnsi="Times New Roman" w:eastAsia="微软雅黑" w:cs="Times New Roman"/>
          <w:i w:val="0"/>
          <w:iCs w:val="0"/>
          <w:caps w:val="0"/>
          <w:color w:val="000000"/>
          <w:spacing w:val="0"/>
          <w:sz w:val="24"/>
          <w:szCs w:val="24"/>
          <w:shd w:val="clear" w:color="auto" w:fill="FFFFFF"/>
        </w:rPr>
        <w:t>Keyword</w:t>
      </w:r>
      <w:r>
        <w:rPr>
          <w:rFonts w:hint="eastAsia" w:ascii="微软雅黑" w:hAnsi="微软雅黑" w:eastAsia="微软雅黑" w:cs="微软雅黑"/>
          <w:i w:val="0"/>
          <w:iCs w:val="0"/>
          <w:caps w:val="0"/>
          <w:color w:val="000000"/>
          <w:spacing w:val="0"/>
          <w:sz w:val="24"/>
          <w:szCs w:val="24"/>
          <w:shd w:val="clear" w:color="auto" w:fill="FFFFFF"/>
          <w:lang w:eastAsia="zh-CN"/>
        </w:rPr>
        <w:t>：</w:t>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fldChar w:fldCharType="begin"/>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instrText xml:space="preserve"> HYPERLINK "https://scholar.cnki.net/home/search?sw=3&amp;sw-input=Agricultural products" \t "https://kns.cnki.net/kcms2/article/_blank" </w:instrText>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fldChar w:fldCharType="separate"/>
      </w:r>
      <w:r>
        <w:rPr>
          <w:rStyle w:val="20"/>
          <w:rFonts w:hint="default" w:ascii="Times New Roman" w:hAnsi="Times New Roman" w:eastAsia="微软雅黑" w:cs="Times New Roman"/>
          <w:b w:val="0"/>
          <w:bCs w:val="0"/>
          <w:i w:val="0"/>
          <w:iCs w:val="0"/>
          <w:caps w:val="0"/>
          <w:color w:val="506697"/>
          <w:spacing w:val="0"/>
          <w:sz w:val="24"/>
          <w:szCs w:val="24"/>
          <w:u w:val="none"/>
          <w:shd w:val="clear" w:color="auto" w:fill="FFFFFF"/>
        </w:rPr>
        <w:t>Agricultural products;</w:t>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fldChar w:fldCharType="end"/>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fldChar w:fldCharType="begin"/>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instrText xml:space="preserve"> HYPERLINK "https://scholar.cnki.net/home/search?sw=3&amp;sw-input=import" \t "https://kns.cnki.net/kcms2/article/_blank" </w:instrText>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fldChar w:fldCharType="separate"/>
      </w:r>
      <w:r>
        <w:rPr>
          <w:rStyle w:val="20"/>
          <w:rFonts w:hint="default" w:ascii="Times New Roman" w:hAnsi="Times New Roman" w:eastAsia="微软雅黑" w:cs="Times New Roman"/>
          <w:b w:val="0"/>
          <w:bCs w:val="0"/>
          <w:i w:val="0"/>
          <w:iCs w:val="0"/>
          <w:caps w:val="0"/>
          <w:color w:val="506697"/>
          <w:spacing w:val="0"/>
          <w:sz w:val="24"/>
          <w:szCs w:val="24"/>
          <w:u w:val="none"/>
          <w:shd w:val="clear" w:color="auto" w:fill="FFFFFF"/>
        </w:rPr>
        <w:t>import;</w:t>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fldChar w:fldCharType="end"/>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fldChar w:fldCharType="begin"/>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instrText xml:space="preserve"> HYPERLINK "https://scholar.cnki.net/home/search?sw=3&amp;sw-input=quality" \t "https://kns.cnki.net/kcms2/article/_blank" </w:instrText>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fldChar w:fldCharType="separate"/>
      </w:r>
      <w:r>
        <w:rPr>
          <w:rStyle w:val="20"/>
          <w:rFonts w:hint="default" w:ascii="Times New Roman" w:hAnsi="Times New Roman" w:eastAsia="微软雅黑" w:cs="Times New Roman"/>
          <w:b w:val="0"/>
          <w:bCs w:val="0"/>
          <w:i w:val="0"/>
          <w:iCs w:val="0"/>
          <w:caps w:val="0"/>
          <w:color w:val="506697"/>
          <w:spacing w:val="0"/>
          <w:sz w:val="24"/>
          <w:szCs w:val="24"/>
          <w:u w:val="none"/>
          <w:shd w:val="clear" w:color="auto" w:fill="FFFFFF"/>
        </w:rPr>
        <w:t>quality;</w:t>
      </w:r>
      <w:r>
        <w:rPr>
          <w:rFonts w:hint="default" w:ascii="Times New Roman" w:hAnsi="Times New Roman" w:eastAsia="微软雅黑" w:cs="Times New Roman"/>
          <w:b w:val="0"/>
          <w:bCs w:val="0"/>
          <w:i w:val="0"/>
          <w:iCs w:val="0"/>
          <w:caps w:val="0"/>
          <w:color w:val="506697"/>
          <w:spacing w:val="0"/>
          <w:sz w:val="24"/>
          <w:szCs w:val="24"/>
          <w:u w:val="none"/>
          <w:shd w:val="clear" w:color="auto" w:fill="FFFFFF"/>
        </w:rPr>
        <w:fldChar w:fldCharType="end"/>
      </w:r>
    </w:p>
    <w:p w14:paraId="1E815D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leftChars="0" w:right="0" w:rightChars="0" w:firstLine="240" w:firstLineChars="100"/>
        <w:jc w:val="both"/>
        <w:outlineLvl w:val="0"/>
        <w:rPr>
          <w:rFonts w:hint="default" w:ascii="Times New Roman" w:hAnsi="Times New Roman" w:eastAsia="微软雅黑" w:cs="Times New Roman"/>
          <w:i w:val="0"/>
          <w:iCs w:val="0"/>
          <w:caps w:val="0"/>
          <w:color w:val="000000"/>
          <w:spacing w:val="0"/>
          <w:sz w:val="24"/>
          <w:szCs w:val="24"/>
          <w:shd w:val="clear" w:color="auto" w:fill="FFFFFF"/>
          <w:lang w:val="en-US" w:eastAsia="zh-CN"/>
        </w:rPr>
      </w:pPr>
      <w:bookmarkStart w:id="161" w:name="_Toc4929"/>
      <w:bookmarkStart w:id="162" w:name="_Toc29195"/>
      <w:bookmarkStart w:id="163" w:name="_Toc9940"/>
      <w:r>
        <w:rPr>
          <w:rFonts w:hint="default" w:ascii="Times New Roman" w:hAnsi="Times New Roman" w:eastAsia="微软雅黑" w:cs="Times New Roman"/>
          <w:i w:val="0"/>
          <w:iCs w:val="0"/>
          <w:caps w:val="0"/>
          <w:color w:val="000000"/>
          <w:spacing w:val="0"/>
          <w:sz w:val="24"/>
          <w:szCs w:val="24"/>
          <w:shd w:val="clear" w:color="auto" w:fill="FFFFFF"/>
          <w:lang w:val="en-US" w:eastAsia="zh-CN"/>
        </w:rPr>
        <w:t>1. INTRODUCTION</w:t>
      </w:r>
      <w:bookmarkEnd w:id="161"/>
      <w:bookmarkEnd w:id="162"/>
      <w:bookmarkEnd w:id="163"/>
    </w:p>
    <w:p w14:paraId="5BAFB6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40" w:firstLineChars="100"/>
        <w:jc w:val="both"/>
        <w:rPr>
          <w:rFonts w:hint="default" w:ascii="Times New Roman" w:hAnsi="Times New Roman" w:eastAsia="微软雅黑" w:cs="Times New Roman"/>
          <w:i w:val="0"/>
          <w:iCs w:val="0"/>
          <w:caps w:val="0"/>
          <w:color w:val="000000"/>
          <w:spacing w:val="0"/>
          <w:sz w:val="24"/>
          <w:szCs w:val="24"/>
          <w:shd w:val="clear" w:color="auto" w:fill="FFFFFF"/>
          <w:lang w:val="en-US" w:eastAsia="zh-CN"/>
        </w:rPr>
      </w:pPr>
      <w:r>
        <w:rPr>
          <w:rFonts w:hint="default" w:ascii="Times New Roman" w:hAnsi="Times New Roman" w:eastAsia="微软雅黑" w:cs="Times New Roman"/>
          <w:i w:val="0"/>
          <w:iCs w:val="0"/>
          <w:caps w:val="0"/>
          <w:color w:val="000000"/>
          <w:spacing w:val="0"/>
          <w:sz w:val="24"/>
          <w:szCs w:val="24"/>
          <w:shd w:val="clear" w:color="auto" w:fill="FFFFFF"/>
          <w:lang w:val="en-US" w:eastAsia="zh-CN"/>
        </w:rPr>
        <w:t>China has been actively engaged in international agriculture trade since WTO accession. Therefore, China’s agricultural trade has grown dramatically, with significant increases in the scope and volume of agricultural imports. With an average annual growth rate of 17.2%, China’s Original Research Article</w:t>
      </w:r>
    </w:p>
    <w:p w14:paraId="701084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40" w:firstLineChars="100"/>
        <w:jc w:val="both"/>
        <w:rPr>
          <w:rFonts w:hint="default" w:ascii="Times New Roman" w:hAnsi="Times New Roman" w:eastAsia="微软雅黑" w:cs="Times New Roman"/>
          <w:i w:val="0"/>
          <w:iCs w:val="0"/>
          <w:caps w:val="0"/>
          <w:color w:val="000000"/>
          <w:spacing w:val="0"/>
          <w:sz w:val="24"/>
          <w:szCs w:val="24"/>
          <w:shd w:val="clear" w:color="auto" w:fill="FFFFFF"/>
          <w:lang w:val="en-US" w:eastAsia="zh-CN"/>
        </w:rPr>
        <w:sectPr>
          <w:headerReference r:id="rId35" w:type="default"/>
          <w:footerReference r:id="rId37" w:type="default"/>
          <w:headerReference r:id="rId36" w:type="even"/>
          <w:footerReference r:id="rId38" w:type="even"/>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default" w:ascii="Times New Roman" w:hAnsi="Times New Roman" w:eastAsia="微软雅黑" w:cs="Times New Roman"/>
          <w:i w:val="0"/>
          <w:iCs w:val="0"/>
          <w:caps w:val="0"/>
          <w:color w:val="000000"/>
          <w:spacing w:val="0"/>
          <w:sz w:val="24"/>
          <w:szCs w:val="24"/>
          <w:shd w:val="clear" w:color="auto" w:fill="FFFFFF"/>
          <w:lang w:val="en-US" w:eastAsia="zh-CN"/>
        </w:rPr>
        <w:t>Dong et al.; SAJSSE,13(2): 12-20, 2022; Article no.SAJSSE.8466413agricultural imports climbed from US$12.42 billion in 2002 to US$149.88 billion in 2019. China has surpassed the United States as the world's largest agricultural importer and second-largest agricultural trader. China’s agricultural products, on the other hand, are facing a massive trade deficit. The agriculture trade surplus was US$5.7 billion at the time of China's WTO accession, but the trade deficit began to manifest in 2004 and reached US$71.31 billion in 20191. As a result, imported agricultural products are gaining a competitive edge in the Chinese market, and Chinese consumers have been increasingly dependent on imported agricultural products.On one hand, world trade enriches Chinese consumers’ choices of agri-food. On the other hand, as agricultural trade grows, so does the risk of encountering toxic and deadlygerms, as well as foreign epidemics. In contrast to 339,000 batches of harmful creature intercepted in 2010, China intercepted 685,000 batches of harmful creature in the process of import quarantine in 2018, according to the data released by General Administration of Quality Supervision, Inspection and Quarantine of the People's Republic of China (AQSIQ). Therefore, the quality and safety of imported agricultural products has been highly regarded.The term "quality" used in this paper is to describe the vertical difference between two products after taking into account product pricing and horizontal variations such as variety and specification. The paper aims to investigate the quality of China’s imported agricultural products and to determine which importing countries have better product quality. Hence, assessing the quality of agricultural imports serves as a foundation for identifying safe and high-quality importing suppliers.The impact of export quality on trade volume has increasingly become a contemporary research hotspot as product quality measurement technologies have improved. Dong and Huang (2016) evaluated the quality of HS9-digit agricultural products exported to Japan from 2005 to 2012, and discovered that the quality of China’s exported agri-food firstly increased followed by a decline, and finally rebounded, 1Ministry of Commerce People’s Republic of China. Reports of monthly imports and exports. http://data.mofcom.gov.cn/hwmy/ncpmonth.shtml?parnode=ncpzj_sub&amp;subnode=ncpzj_monthfluctuating in a N-shaped pattern [1]. Chen and Xu [2]used the product-level regression and back-induction method to calculate the quality of China's imported agricultural products from 2000 to 2013, and found that the quality of China’s imported agricultural products shows an obvious upward inverted U-shaped trend from 2010 to 2012 [2]. Jiang and Yao [3]pointed out that the EU Maximal residual limits (MRLs) standard not only slowed the rate of quality improvement of imported fresh fruits, but also had a nonlinear effect on the quality improvement [3]. Liu and Zhao [4]investigated the theoretical mechanism of the impact of the export quality of agricultural products on the upgrading of agricultural sector through the transmission paths of material capital, human capital, science and technology and institutional quality. They came to the conclusion that improving the export quality of agricultural products has a direct impact on the agricultural industry's overall upgrading, and the most noticeable influence on upgrading is seen in central China [4].The current study focuses mostly on agricultural product export quality, with less discussion on agricultural product import quality. What’s more, there are few research based on the nested logit model on the quality of imported agricultural products. As a result, the paper seeks to use Khandelwal (2009)'s nested logit model to estimate the quality of China's imported agricultural products, elucidating the quality disparity between Chinese and foreign items. In addition, to augment the current literature, heterogeneity analysis will be undertaken from the dimensio</w:t>
      </w:r>
      <w:r>
        <w:rPr>
          <w:rFonts w:hint="default" w:ascii="Times New Roman" w:hAnsi="Times New Roman" w:eastAsia="微软雅黑" w:cs="Times New Roman"/>
          <w:i w:val="0"/>
          <w:iCs w:val="0"/>
          <w:caps w:val="0"/>
          <w:color w:val="000000"/>
          <w:spacing w:val="0"/>
          <w:sz w:val="24"/>
          <w:szCs w:val="24"/>
          <w:shd w:val="clear" w:color="auto" w:fill="FFFFFF"/>
          <w:lang w:val="en-US" w:eastAsia="zh-CN"/>
        </w:rPr>
        <w:t>n of importing nations and classification of imported agricultural product</w:t>
      </w:r>
    </w:p>
    <w:p w14:paraId="2B44F25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40" w:firstLineChars="100"/>
        <w:jc w:val="both"/>
        <w:rPr>
          <w:rFonts w:hint="eastAsia" w:ascii="Times New Roman" w:hAnsi="Times New Roman" w:eastAsia="微软雅黑" w:cs="Times New Roman"/>
          <w:i w:val="0"/>
          <w:iCs w:val="0"/>
          <w:caps w:val="0"/>
          <w:color w:val="000000"/>
          <w:spacing w:val="0"/>
          <w:sz w:val="24"/>
          <w:szCs w:val="24"/>
          <w:shd w:val="clear" w:color="auto" w:fill="FFFFFF"/>
          <w:lang w:val="en-US" w:eastAsia="zh-CN"/>
        </w:rPr>
      </w:pPr>
    </w:p>
    <w:p w14:paraId="3B9CF9F0">
      <w:pPr>
        <w:tabs>
          <w:tab w:val="left" w:pos="3154"/>
        </w:tabs>
        <w:bidi w:val="0"/>
        <w:jc w:val="center"/>
        <w:outlineLvl w:val="0"/>
        <w:rPr>
          <w:rFonts w:hint="eastAsia" w:ascii="黑体" w:hAnsi="黑体" w:eastAsia="黑体" w:cs="黑体"/>
          <w:b/>
          <w:bCs/>
          <w:sz w:val="44"/>
          <w:szCs w:val="44"/>
          <w:lang w:val="en-US" w:eastAsia="zh-CN"/>
        </w:rPr>
      </w:pPr>
      <w:bookmarkStart w:id="164" w:name="_Toc590"/>
      <w:bookmarkStart w:id="165" w:name="_Toc1845"/>
      <w:bookmarkStart w:id="166" w:name="_Toc18446"/>
      <w:r>
        <w:rPr>
          <w:rFonts w:hint="eastAsia" w:ascii="黑体" w:hAnsi="黑体" w:eastAsia="黑体" w:cs="黑体"/>
          <w:b/>
          <w:bCs/>
          <w:sz w:val="44"/>
          <w:szCs w:val="44"/>
          <w:lang w:val="en-US" w:eastAsia="zh-CN"/>
        </w:rPr>
        <w:t>译文</w:t>
      </w:r>
      <w:bookmarkEnd w:id="164"/>
      <w:bookmarkEnd w:id="165"/>
      <w:bookmarkEnd w:id="166"/>
    </w:p>
    <w:p w14:paraId="6C6BC349">
      <w:pPr>
        <w:tabs>
          <w:tab w:val="left" w:pos="3154"/>
        </w:tabs>
        <w:bidi w:val="0"/>
        <w:jc w:val="center"/>
        <w:rPr>
          <w:rFonts w:ascii="微软雅黑" w:hAnsi="微软雅黑" w:eastAsia="微软雅黑" w:cs="微软雅黑"/>
          <w:b/>
          <w:bCs/>
          <w:i w:val="0"/>
          <w:iCs w:val="0"/>
          <w:caps w:val="0"/>
          <w:color w:val="666666"/>
          <w:spacing w:val="0"/>
          <w:sz w:val="30"/>
          <w:szCs w:val="30"/>
          <w:shd w:val="clear" w:color="auto" w:fill="FFFFFF"/>
        </w:rPr>
      </w:pPr>
      <w:r>
        <w:rPr>
          <w:rFonts w:hint="eastAsia" w:ascii="微软雅黑" w:hAnsi="微软雅黑" w:eastAsia="微软雅黑" w:cs="微软雅黑"/>
          <w:b/>
          <w:bCs/>
          <w:i w:val="0"/>
          <w:iCs w:val="0"/>
          <w:caps w:val="0"/>
          <w:color w:val="666666"/>
          <w:spacing w:val="0"/>
          <w:sz w:val="30"/>
          <w:szCs w:val="30"/>
          <w:shd w:val="clear" w:color="auto" w:fill="FFFFFF"/>
          <w:lang w:val="en-US" w:eastAsia="zh-CN"/>
        </w:rPr>
        <w:t>中</w:t>
      </w:r>
      <w:r>
        <w:rPr>
          <w:rFonts w:ascii="微软雅黑" w:hAnsi="微软雅黑" w:eastAsia="微软雅黑" w:cs="微软雅黑"/>
          <w:b/>
          <w:bCs/>
          <w:i w:val="0"/>
          <w:iCs w:val="0"/>
          <w:caps w:val="0"/>
          <w:color w:val="666666"/>
          <w:spacing w:val="0"/>
          <w:sz w:val="30"/>
          <w:szCs w:val="30"/>
          <w:shd w:val="clear" w:color="auto" w:fill="FFFFFF"/>
        </w:rPr>
        <w:t>国农产品进口质量分析</w:t>
      </w:r>
    </w:p>
    <w:p w14:paraId="55139D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center"/>
        <w:rPr>
          <w:rFonts w:hint="eastAsia" w:ascii="黑体" w:hAnsi="黑体" w:eastAsia="黑体" w:cs="黑体"/>
          <w:i w:val="0"/>
          <w:iCs w:val="0"/>
          <w:caps w:val="0"/>
          <w:color w:val="000000"/>
          <w:spacing w:val="0"/>
          <w:kern w:val="0"/>
          <w:sz w:val="30"/>
          <w:szCs w:val="30"/>
          <w:shd w:val="clear" w:color="auto" w:fill="FFFFFF"/>
          <w:lang w:val="en-US" w:eastAsia="zh-CN" w:bidi="ar"/>
        </w:rPr>
      </w:pPr>
      <w:r>
        <w:rPr>
          <w:rFonts w:hint="eastAsia" w:ascii="黑体" w:hAnsi="黑体" w:eastAsia="黑体" w:cs="黑体"/>
          <w:i w:val="0"/>
          <w:iCs w:val="0"/>
          <w:caps w:val="0"/>
          <w:color w:val="444444"/>
          <w:spacing w:val="0"/>
          <w:sz w:val="30"/>
          <w:szCs w:val="30"/>
          <w:shd w:val="clear" w:color="auto" w:fill="F6F8FA"/>
        </w:rPr>
        <w:t>Dong Yinguo;Shen Yihao;Chen Jiayu</w:t>
      </w:r>
    </w:p>
    <w:p w14:paraId="79958023">
      <w:pPr>
        <w:keepNext w:val="0"/>
        <w:keepLines w:val="0"/>
        <w:pageBreakBefore w:val="0"/>
        <w:widowControl/>
        <w:tabs>
          <w:tab w:val="left" w:pos="3154"/>
        </w:tabs>
        <w:kinsoku/>
        <w:wordWrap/>
        <w:overflowPunct/>
        <w:topLinePunct w:val="0"/>
        <w:autoSpaceDE/>
        <w:autoSpaceDN/>
        <w:bidi w:val="0"/>
        <w:adjustRightInd/>
        <w:snapToGrid/>
        <w:spacing w:before="120" w:line="400" w:lineRule="exact"/>
        <w:ind w:firstLine="480" w:firstLineChars="200"/>
        <w:jc w:val="left"/>
        <w:textAlignment w:val="auto"/>
        <w:outlineLvl w:val="0"/>
        <w:rPr>
          <w:rFonts w:hint="eastAsia" w:ascii="宋体" w:hAnsi="宋体" w:eastAsia="宋体" w:cs="宋体"/>
          <w:i w:val="0"/>
          <w:iCs w:val="0"/>
          <w:caps w:val="0"/>
          <w:color w:val="666666"/>
          <w:spacing w:val="0"/>
          <w:sz w:val="24"/>
          <w:szCs w:val="24"/>
          <w:shd w:val="clear" w:color="auto" w:fill="FFFFFF"/>
          <w:lang w:val="en-US" w:eastAsia="zh-CN"/>
        </w:rPr>
      </w:pPr>
      <w:bookmarkStart w:id="167" w:name="_Toc19908"/>
      <w:bookmarkStart w:id="168" w:name="_Toc25366"/>
      <w:bookmarkStart w:id="169" w:name="_Toc7114"/>
      <w:r>
        <w:rPr>
          <w:rFonts w:hint="eastAsia" w:ascii="宋体" w:hAnsi="宋体" w:eastAsia="宋体" w:cs="宋体"/>
          <w:i w:val="0"/>
          <w:iCs w:val="0"/>
          <w:caps w:val="0"/>
          <w:color w:val="666666"/>
          <w:spacing w:val="0"/>
          <w:sz w:val="24"/>
          <w:szCs w:val="24"/>
          <w:shd w:val="clear" w:color="auto" w:fill="FFFFFF"/>
          <w:lang w:val="en-US" w:eastAsia="zh-CN"/>
        </w:rPr>
        <w:t>摘要</w:t>
      </w:r>
      <w:bookmarkEnd w:id="167"/>
      <w:bookmarkEnd w:id="168"/>
      <w:bookmarkEnd w:id="169"/>
    </w:p>
    <w:p w14:paraId="7621C2F4">
      <w:pPr>
        <w:keepNext w:val="0"/>
        <w:keepLines w:val="0"/>
        <w:pageBreakBefore w:val="0"/>
        <w:widowControl/>
        <w:tabs>
          <w:tab w:val="left" w:pos="3154"/>
        </w:tabs>
        <w:kinsoku/>
        <w:wordWrap/>
        <w:overflowPunct/>
        <w:topLinePunct w:val="0"/>
        <w:autoSpaceDE/>
        <w:autoSpaceDN/>
        <w:bidi w:val="0"/>
        <w:adjustRightInd/>
        <w:snapToGrid/>
        <w:spacing w:before="120" w:line="400" w:lineRule="exact"/>
        <w:ind w:firstLine="480" w:firstLineChars="200"/>
        <w:jc w:val="left"/>
        <w:textAlignment w:val="auto"/>
        <w:rPr>
          <w:rFonts w:hint="eastAsia" w:ascii="宋体" w:hAnsi="宋体" w:eastAsia="宋体" w:cs="宋体"/>
          <w:i w:val="0"/>
          <w:iCs w:val="0"/>
          <w:caps w:val="0"/>
          <w:color w:val="666666"/>
          <w:spacing w:val="0"/>
          <w:sz w:val="24"/>
          <w:szCs w:val="24"/>
          <w:shd w:val="clear" w:color="auto" w:fill="FFFFFF"/>
        </w:rPr>
      </w:pPr>
      <w:r>
        <w:rPr>
          <w:rFonts w:hint="eastAsia" w:ascii="宋体" w:hAnsi="宋体" w:eastAsia="宋体" w:cs="宋体"/>
          <w:i w:val="0"/>
          <w:iCs w:val="0"/>
          <w:caps w:val="0"/>
          <w:color w:val="666666"/>
          <w:spacing w:val="0"/>
          <w:sz w:val="24"/>
          <w:szCs w:val="24"/>
          <w:shd w:val="clear" w:color="auto" w:fill="FFFFFF"/>
        </w:rPr>
        <w:t>中国加入世贸组织以来,农产品进口量大幅增长,但中国也对进口农产品的安全产生了各种担忧。因此,提高进口农产品质量已成为我国亟待解决的问题。基于2002—2017年HS6位数据,运用嵌套Logit模型构建进口农产品可比质量指标。论文发现,进口农产品质量稳步提升。到2017年,进口国的相对加权质量主要落在0.6 ~ 0.9之间。值得注意的是,来自巴西和美国的农产品质量均大于0.9。在产品质量方面,蔬菜产品相对加权质量最高,其次是活畜产品、畜产品、制成品、饮料等产品。</w:t>
      </w:r>
    </w:p>
    <w:p w14:paraId="6951A66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405" w:lineRule="atLeast"/>
        <w:ind w:left="0" w:leftChars="0" w:right="0" w:rightChars="0" w:firstLine="0" w:firstLineChars="0"/>
        <w:jc w:val="both"/>
        <w:outlineLvl w:val="9"/>
        <w:rPr>
          <w:rFonts w:hint="eastAsia" w:ascii="宋体" w:hAnsi="宋体" w:eastAsia="宋体" w:cs="宋体"/>
          <w:b w:val="0"/>
          <w:bCs/>
          <w:i w:val="0"/>
          <w:iCs w:val="0"/>
          <w:caps w:val="0"/>
          <w:color w:val="000000"/>
          <w:spacing w:val="0"/>
          <w:sz w:val="24"/>
          <w:szCs w:val="24"/>
        </w:rPr>
      </w:pPr>
      <w:bookmarkStart w:id="170" w:name="_Toc13051"/>
      <w:bookmarkStart w:id="171" w:name="_Toc4635"/>
      <w:r>
        <w:rPr>
          <w:rFonts w:hint="eastAsia" w:ascii="宋体" w:hAnsi="宋体" w:eastAsia="宋体" w:cs="宋体"/>
          <w:b w:val="0"/>
          <w:bCs/>
          <w:i w:val="0"/>
          <w:iCs w:val="0"/>
          <w:caps w:val="0"/>
          <w:color w:val="666666"/>
          <w:spacing w:val="0"/>
          <w:sz w:val="24"/>
          <w:szCs w:val="24"/>
          <w:shd w:val="clear" w:color="auto" w:fill="FFFFFF"/>
          <w:lang w:val="en-US" w:eastAsia="zh-CN"/>
        </w:rPr>
        <w:t>关键词：</w:t>
      </w:r>
      <w:r>
        <w:rPr>
          <w:rFonts w:hint="eastAsia" w:ascii="宋体" w:hAnsi="宋体" w:eastAsia="宋体" w:cs="宋体"/>
          <w:b w:val="0"/>
          <w:bCs/>
          <w:i w:val="0"/>
          <w:iCs w:val="0"/>
          <w:caps w:val="0"/>
          <w:color w:val="000000"/>
          <w:spacing w:val="0"/>
          <w:sz w:val="24"/>
          <w:szCs w:val="24"/>
          <w:shd w:val="clear" w:color="auto" w:fill="FFFFFF"/>
        </w:rPr>
        <w:t>农产品；进口；质量</w:t>
      </w:r>
      <w:bookmarkEnd w:id="170"/>
      <w:bookmarkEnd w:id="171"/>
    </w:p>
    <w:p w14:paraId="4BDA77C8">
      <w:pPr>
        <w:keepNext w:val="0"/>
        <w:keepLines w:val="0"/>
        <w:pageBreakBefore w:val="0"/>
        <w:widowControl/>
        <w:tabs>
          <w:tab w:val="left" w:pos="3154"/>
        </w:tabs>
        <w:kinsoku/>
        <w:wordWrap/>
        <w:overflowPunct/>
        <w:topLinePunct w:val="0"/>
        <w:autoSpaceDE/>
        <w:autoSpaceDN/>
        <w:bidi w:val="0"/>
        <w:adjustRightInd/>
        <w:snapToGrid/>
        <w:spacing w:before="120" w:line="400" w:lineRule="exact"/>
        <w:ind w:firstLine="480" w:firstLineChars="200"/>
        <w:jc w:val="left"/>
        <w:textAlignment w:val="auto"/>
        <w:outlineLvl w:val="0"/>
        <w:rPr>
          <w:rFonts w:ascii="PingFang SC" w:hAnsi="PingFang SC" w:eastAsia="PingFang SC" w:cs="PingFang SC"/>
          <w:i w:val="0"/>
          <w:iCs w:val="0"/>
          <w:caps w:val="0"/>
          <w:color w:val="2A2F45"/>
          <w:spacing w:val="0"/>
          <w:sz w:val="24"/>
          <w:szCs w:val="24"/>
          <w:shd w:val="clear" w:color="auto" w:fill="FFFFFF"/>
        </w:rPr>
      </w:pPr>
      <w:bookmarkStart w:id="172" w:name="_Toc21513"/>
      <w:bookmarkStart w:id="173" w:name="_Toc31863"/>
      <w:bookmarkStart w:id="174" w:name="_Toc18902"/>
      <w:bookmarkStart w:id="175" w:name="_Toc25003"/>
      <w:r>
        <w:rPr>
          <w:rFonts w:hint="eastAsia" w:ascii="宋体" w:hAnsi="宋体" w:eastAsia="宋体" w:cs="宋体"/>
          <w:i w:val="0"/>
          <w:iCs w:val="0"/>
          <w:caps w:val="0"/>
          <w:color w:val="2A2F45"/>
          <w:spacing w:val="0"/>
          <w:sz w:val="24"/>
          <w:szCs w:val="24"/>
          <w:shd w:val="clear" w:color="auto" w:fill="FFFFFF"/>
          <w:lang w:val="en-US" w:eastAsia="zh-CN"/>
        </w:rPr>
        <w:t>1.</w:t>
      </w:r>
      <w:r>
        <w:rPr>
          <w:rFonts w:ascii="PingFang SC" w:hAnsi="PingFang SC" w:eastAsia="PingFang SC" w:cs="PingFang SC"/>
          <w:i w:val="0"/>
          <w:iCs w:val="0"/>
          <w:caps w:val="0"/>
          <w:color w:val="2A2F45"/>
          <w:spacing w:val="0"/>
          <w:sz w:val="24"/>
          <w:szCs w:val="24"/>
          <w:shd w:val="clear" w:color="auto" w:fill="FFFFFF"/>
        </w:rPr>
        <w:t>引言</w:t>
      </w:r>
      <w:bookmarkEnd w:id="172"/>
      <w:bookmarkEnd w:id="173"/>
      <w:bookmarkEnd w:id="174"/>
      <w:bookmarkEnd w:id="175"/>
    </w:p>
    <w:p w14:paraId="5A2FC558">
      <w:pPr>
        <w:keepNext w:val="0"/>
        <w:keepLines w:val="0"/>
        <w:pageBreakBefore w:val="0"/>
        <w:widowControl/>
        <w:tabs>
          <w:tab w:val="left" w:pos="3154"/>
        </w:tabs>
        <w:kinsoku/>
        <w:wordWrap/>
        <w:overflowPunct/>
        <w:topLinePunct w:val="0"/>
        <w:autoSpaceDE/>
        <w:autoSpaceDN/>
        <w:bidi w:val="0"/>
        <w:adjustRightInd/>
        <w:snapToGrid/>
        <w:spacing w:before="120" w:line="400" w:lineRule="exact"/>
        <w:ind w:firstLine="480" w:firstLineChars="200"/>
        <w:jc w:val="left"/>
        <w:textAlignment w:val="auto"/>
        <w:rPr>
          <w:rFonts w:hint="eastAsia" w:ascii="宋体" w:hAnsi="宋体" w:eastAsia="宋体" w:cs="宋体"/>
          <w:i w:val="0"/>
          <w:iCs w:val="0"/>
          <w:caps w:val="0"/>
          <w:color w:val="2A2F45"/>
          <w:spacing w:val="0"/>
          <w:sz w:val="24"/>
          <w:szCs w:val="24"/>
          <w:shd w:val="clear" w:color="auto" w:fill="FFFFFF"/>
          <w:lang w:val="en-US" w:eastAsia="zh-CN"/>
        </w:rPr>
      </w:pPr>
      <w:r>
        <w:rPr>
          <w:rFonts w:hint="eastAsia" w:ascii="宋体" w:hAnsi="宋体" w:eastAsia="宋体" w:cs="宋体"/>
          <w:i w:val="0"/>
          <w:iCs w:val="0"/>
          <w:caps w:val="0"/>
          <w:color w:val="2A2F45"/>
          <w:spacing w:val="0"/>
          <w:sz w:val="24"/>
          <w:szCs w:val="24"/>
          <w:shd w:val="clear" w:color="auto" w:fill="FFFFFF"/>
        </w:rPr>
        <w:t>自加入世界贸易组织以来，中国一直积极参与国际农业贸易。因此，中国的农业贸易大幅增长，农产品进口的规模和数量显著增加。2002 年至 2019 年，中国农产品进口额以年均 17.2%的速度增长，从 124.2 亿美元攀升至 1498.8 亿美元。中国已超越美国成为全球最大的农产品进口国和第二大农产品贸易国。然而，中国的农产品贸易却面临着巨大的逆差。中国加入世贸组织时，农业贸易顺差为 57 亿美元，但自 2004 年起贸易逆差开始显现，到 2019 年已达 713.1 亿美元。因此，进口农产品在中国市场逐渐占据优势，中国消费者对进口农产品的依赖程度也日益加深。一方面，世界贸易丰富了中国消费者对农产品的选择。另一方面，随着农业贸易的增长，遭遇有毒和致命病菌以及外来疫病的风险也在增加。据中华人民共和国国家质量监督检验检疫总局（AQSIQ）发布的数据，2010 年中国在进口检疫过程中截获有害生物 33.9 万批，而 2018 年这一数字达到了 68.5 万批。因此，进口农产品的质量和安全受到了高度重视。本文所使用的“质量”一词是指在考虑产品定价以及品种和规格等横向差异后，两个产品之间的纵向差异。本文旨在研究中国进口农产品的质量，并确定哪些进口国的产品质量更优。因此，评估农产品进口质量是识别安全优质进口供应商的基础。随着产品质量测量技术的改进，出口质量对贸易量的影响日益成为当代研究热点。董和黄（2016 年）评估了 2005 年至 2012 年中国出口到日本的 9 位 HS 编码农产品的质量，发现中国出口农产品的质量先是上升，随后下降，最后又反弹，呈 N 型波动趋势[1]。陈和徐[2]采用产品层面回归和反向归纳法计算了 2000 年至 2013 年中国进口农产品的质量，发现 2010 年至 2012 年中国进口农产品的质量呈现出明显的倒 U 型上升趋势[2]。江和姚[3]指出，欧盟最大残留限量（MRLs）标准不仅减缓了进口新鲜水果质量提升的速度，而且对其质量提升产生了非线性影响[3]。刘和赵[4]通过物质资本、人力资本、科技和制度质量的传导路径，研究了农产品出口质量对农业部门升级的理论机制。他们得出结论，提高农产品出口质量对农业产业的整体升级有直接影响，其中对中部地区的影响最为显著[4]。目前的研究大多集中在农产品出口质量上，对农产品进口质量的讨论较少。此外，基于嵌套逻辑模型对进口农产品质量的研究也很少。因此，本文试图运用坎德尔瓦尔（2009）的嵌套逻辑模型来估算中国进口农产品的质量，阐明中外农产品的质量差异。此外，为了丰富现有文献，还将从进口国和进口农产品分类的角度进行异质性分析。</w:t>
      </w:r>
    </w:p>
    <w:sectPr>
      <w:headerReference r:id="rId39" w:type="default"/>
      <w:footerReference r:id="rId41" w:type="default"/>
      <w:headerReference r:id="rId40" w:type="even"/>
      <w:footerReference r:id="rId42" w:type="even"/>
      <w:pgSz w:w="11906" w:h="16838"/>
      <w:pgMar w:top="1984" w:right="1701" w:bottom="1984" w:left="1701" w:header="1559"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ndrew" w:date="2025-04-16T22:35:00Z" w:initials="">
    <w:p w14:paraId="1E07D7C5">
      <w:pPr>
        <w:pStyle w:val="7"/>
        <w:rPr>
          <w:rFonts w:hint="default" w:eastAsia="宋体"/>
          <w:lang w:val="en-US" w:eastAsia="zh-CN"/>
        </w:rPr>
      </w:pPr>
      <w:r>
        <w:rPr>
          <w:rFonts w:hint="eastAsia" w:eastAsia="宋体"/>
          <w:lang w:val="en-US" w:eastAsia="zh-CN"/>
        </w:rPr>
        <w:t>第一章内容包括什么？你是要研究中国对俄罗斯农产品出口还是中俄农产品贸易（这样的话可能还会涉及中国从俄罗斯进口）；你的目录和正文一致吗？目录格式一塌糊涂。</w:t>
      </w:r>
    </w:p>
  </w:comment>
  <w:comment w:id="1" w:author="Andrew" w:date="2025-04-16T22:39:00Z" w:initials="">
    <w:p w14:paraId="6533370F">
      <w:pPr>
        <w:pStyle w:val="7"/>
        <w:rPr>
          <w:rFonts w:hint="default" w:eastAsia="宋体"/>
          <w:lang w:val="en-US" w:eastAsia="zh-CN"/>
        </w:rPr>
      </w:pPr>
      <w:r>
        <w:rPr>
          <w:rFonts w:hint="eastAsia" w:eastAsia="宋体"/>
          <w:lang w:val="en-US" w:eastAsia="zh-CN"/>
        </w:rPr>
        <w:t>现状应该是关于中对俄农产品出口的现状</w:t>
      </w:r>
    </w:p>
  </w:comment>
  <w:comment w:id="2" w:author="Andrew" w:date="2025-04-16T22:42:00Z" w:initials="">
    <w:p w14:paraId="6E7D6218">
      <w:pPr>
        <w:pStyle w:val="7"/>
        <w:rPr>
          <w:rFonts w:hint="default" w:eastAsia="宋体"/>
          <w:lang w:val="en-US" w:eastAsia="zh-CN"/>
        </w:rPr>
      </w:pPr>
      <w:r>
        <w:rPr>
          <w:rFonts w:hint="eastAsia" w:eastAsia="宋体"/>
          <w:lang w:val="en-US" w:eastAsia="zh-CN"/>
        </w:rPr>
        <w:t>没有应对策略吗？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07D7C5" w15:done="0"/>
  <w15:commentEx w15:paraId="6533370F" w15:done="0"/>
  <w15:commentEx w15:paraId="6E7D621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3890E">
    <w:pPr>
      <w:pStyle w:val="10"/>
      <w:bidi w:val="0"/>
      <w:rPr>
        <w:rFonts w:hint="default"/>
        <w:lang w:val="en-US"/>
      </w:rPr>
    </w:pPr>
    <w:r>
      <w:rPr>
        <w:rFonts w:hint="eastAsia"/>
        <w:lang w:val="en-US" w:eastAsia="zh-CN"/>
      </w:rPr>
      <w:tab/>
    </w:r>
    <w:r>
      <w:rPr>
        <w:rFonts w:hint="eastAsia"/>
        <w:lang w:val="en-US"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450C9">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86F70">
    <w:pPr>
      <w:pStyle w:val="10"/>
      <w:bidi w:val="0"/>
      <w:rPr>
        <w:rFonts w:hint="default"/>
        <w:lang w:val="en-US"/>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C6EF5B">
                          <w:pPr>
                            <w:pStyle w:val="10"/>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49"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ISHq6yQEAAJoDAAAOAAAAAAAAAAEAIAAAAB4BAABkcnMvZTJvRG9j&#10;LnhtbFBLBQYAAAAABgAGAFkBAABZBQAAAAA=&#10;">
              <v:fill on="f" focussize="0,0"/>
              <v:stroke on="f"/>
              <v:imagedata o:title=""/>
              <o:lock v:ext="edit" aspectratio="f"/>
              <v:textbox inset="0mm,0mm,0mm,0mm" style="mso-fit-shape-to-text:t;">
                <w:txbxContent>
                  <w:p w14:paraId="03C6EF5B">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ab/>
    </w:r>
    <w:r>
      <w:rPr>
        <w:rFonts w:hint="eastAsia"/>
        <w:lang w:val="en-US"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6E170">
    <w:pPr>
      <w:pStyle w:val="10"/>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CE3BA5">
                          <w:pPr>
                            <w:pStyle w:val="10"/>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50"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EOX2vbIAQAAmgMAAA4AAAAAAAAAAQAgAAAAHgEAAGRycy9lMm9Eb2Mu&#10;eG1sUEsFBgAAAAAGAAYAWQEAAFgFAAAAAA==&#10;">
              <v:fill on="f" focussize="0,0"/>
              <v:stroke on="f"/>
              <v:imagedata o:title=""/>
              <o:lock v:ext="edit" aspectratio="f"/>
              <v:textbox inset="0mm,0mm,0mm,0mm" style="mso-fit-shape-to-text:t;">
                <w:txbxContent>
                  <w:p w14:paraId="61CE3BA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64BFA">
    <w:pPr>
      <w:pStyle w:val="10"/>
      <w:bidi w:val="0"/>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A918EA">
                          <w:pPr>
                            <w:pStyle w:val="1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37</w:t>
                          </w:r>
                          <w:r>
                            <w:rPr>
                              <w:sz w:val="21"/>
                              <w:szCs w:val="21"/>
                            </w:rPr>
                            <w:fldChar w:fldCharType="end"/>
                          </w:r>
                        </w:p>
                      </w:txbxContent>
                    </wps:txbx>
                    <wps:bodyPr vert="horz" wrap="none" lIns="0" tIns="0" rIns="0" bIns="0" anchor="t" anchorCtr="0" upright="1">
                      <a:spAutoFit/>
                    </wps:bodyPr>
                  </wps:wsp>
                </a:graphicData>
              </a:graphic>
            </wp:anchor>
          </w:drawing>
        </mc:Choice>
        <mc:Fallback>
          <w:pict>
            <v:shape id="文本框 4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EkzIPTgAQAAwAMAAA4AAAAA&#10;AAAAAQAgAAAAHgEAAGRycy9lMm9Eb2MueG1sUEsFBgAAAAAGAAYAWQEAAHAFAAAAAA==&#10;">
              <v:fill on="f" focussize="0,0"/>
              <v:stroke on="f"/>
              <v:imagedata o:title=""/>
              <o:lock v:ext="edit" aspectratio="f"/>
              <v:textbox inset="0mm,0mm,0mm,0mm" style="mso-fit-shape-to-text:t;">
                <w:txbxContent>
                  <w:p w14:paraId="77A918EA">
                    <w:pPr>
                      <w:pStyle w:val="1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37</w:t>
                    </w:r>
                    <w:r>
                      <w:rPr>
                        <w:sz w:val="21"/>
                        <w:szCs w:val="21"/>
                      </w:rPr>
                      <w:fldChar w:fldCharType="end"/>
                    </w:r>
                  </w:p>
                </w:txbxContent>
              </v:textbox>
            </v:shape>
          </w:pict>
        </mc:Fallback>
      </mc:AlternateContent>
    </w:r>
    <w:r>
      <w:rPr>
        <w:rFonts w:hint="eastAsia"/>
        <w:lang w:val="en-US" w:eastAsia="zh-CN"/>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93126">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755184">
                          <w:pPr>
                            <w:pStyle w:val="10"/>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4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N1X9trgAQAAwAMAAA4AAAAA&#10;AAAAAQAgAAAAHgEAAGRycy9lMm9Eb2MueG1sUEsFBgAAAAAGAAYAWQEAAHAFAAAAAA==&#10;">
              <v:fill on="f" focussize="0,0"/>
              <v:stroke on="f"/>
              <v:imagedata o:title=""/>
              <o:lock v:ext="edit" aspectratio="f"/>
              <v:textbox inset="0mm,0mm,0mm,0mm" style="mso-fit-shape-to-text:t;">
                <w:txbxContent>
                  <w:p w14:paraId="3C755184">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A63B1">
    <w:pPr>
      <w:pStyle w:val="10"/>
      <w:bidi w:val="0"/>
      <w:rPr>
        <w:rFonts w:hint="default"/>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3AD604">
                          <w:pPr>
                            <w:pStyle w:val="10"/>
                          </w:pPr>
                          <w:r>
                            <w:fldChar w:fldCharType="begin"/>
                          </w:r>
                          <w:r>
                            <w:instrText xml:space="preserve"> PAGE  \* MERGEFORMAT </w:instrText>
                          </w:r>
                          <w:r>
                            <w:fldChar w:fldCharType="separate"/>
                          </w:r>
                          <w:r>
                            <w:t>37</w:t>
                          </w:r>
                          <w:r>
                            <w:fldChar w:fldCharType="end"/>
                          </w:r>
                        </w:p>
                      </w:txbxContent>
                    </wps:txbx>
                    <wps:bodyPr wrap="none" lIns="0" tIns="0" rIns="0" bIns="0" upright="1">
                      <a:spAutoFit/>
                    </wps:bodyPr>
                  </wps:wsp>
                </a:graphicData>
              </a:graphic>
            </wp:anchor>
          </w:drawing>
        </mc:Choice>
        <mc:Fallback>
          <w:pict>
            <v:shape id="文本框 4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wwNhdsoBAACbAwAADgAAAAAAAAABACAAAAAeAQAAZHJzL2Uyb0Rv&#10;Yy54bWxQSwUGAAAAAAYABgBZAQAAWgUAAAAA&#10;">
              <v:fill on="f" focussize="0,0"/>
              <v:stroke on="f"/>
              <v:imagedata o:title=""/>
              <o:lock v:ext="edit" aspectratio="f"/>
              <v:textbox inset="0mm,0mm,0mm,0mm" style="mso-fit-shape-to-text:t;">
                <w:txbxContent>
                  <w:p w14:paraId="6A3AD604">
                    <w:pPr>
                      <w:pStyle w:val="10"/>
                    </w:pPr>
                    <w:r>
                      <w:fldChar w:fldCharType="begin"/>
                    </w:r>
                    <w:r>
                      <w:instrText xml:space="preserve"> PAGE  \* MERGEFORMAT </w:instrText>
                    </w:r>
                    <w:r>
                      <w:fldChar w:fldCharType="separate"/>
                    </w:r>
                    <w:r>
                      <w:t>37</w:t>
                    </w:r>
                    <w:r>
                      <w:fldChar w:fldCharType="end"/>
                    </w:r>
                  </w:p>
                </w:txbxContent>
              </v:textbox>
            </v:shape>
          </w:pict>
        </mc:Fallback>
      </mc:AlternateContent>
    </w:r>
    <w:r>
      <w:rPr>
        <w:rFonts w:hint="eastAsia"/>
        <w:lang w:val="en-US" w:eastAsia="zh-CN"/>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5C1A9">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12B82C">
                          <w:pPr>
                            <w:pStyle w:val="10"/>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文本框 48"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KVubcoBAACbAwAADgAAAAAAAAABACAAAAAeAQAAZHJzL2Uyb0Rv&#10;Yy54bWxQSwUGAAAAAAYABgBZAQAAWgUAAAAA&#10;">
              <v:fill on="f" focussize="0,0"/>
              <v:stroke on="f"/>
              <v:imagedata o:title=""/>
              <o:lock v:ext="edit" aspectratio="f"/>
              <v:textbox inset="0mm,0mm,0mm,0mm" style="mso-fit-shape-to-text:t;">
                <w:txbxContent>
                  <w:p w14:paraId="0E12B82C">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F3E5A">
    <w:pPr>
      <w:pStyle w:val="10"/>
      <w:bidi w:val="0"/>
      <w:rPr>
        <w:rFonts w:hint="default"/>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2D6AC8">
                          <w:pPr>
                            <w:pStyle w:val="10"/>
                          </w:pPr>
                          <w:r>
                            <w:fldChar w:fldCharType="begin"/>
                          </w:r>
                          <w:r>
                            <w:instrText xml:space="preserve"> PAGE  \* MERGEFORMAT </w:instrText>
                          </w:r>
                          <w:r>
                            <w:fldChar w:fldCharType="separate"/>
                          </w:r>
                          <w:r>
                            <w:t>37</w:t>
                          </w:r>
                          <w:r>
                            <w:fldChar w:fldCharType="end"/>
                          </w:r>
                        </w:p>
                      </w:txbxContent>
                    </wps:txbx>
                    <wps:bodyPr wrap="none" lIns="0" tIns="0" rIns="0" bIns="0" upright="1">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YhIPWcoBAACbAwAADgAAAAAAAAABACAAAAAeAQAAZHJzL2Uyb0Rv&#10;Yy54bWxQSwUGAAAAAAYABgBZAQAAWgUAAAAA&#10;">
              <v:fill on="f" focussize="0,0"/>
              <v:stroke on="f"/>
              <v:imagedata o:title=""/>
              <o:lock v:ext="edit" aspectratio="f"/>
              <v:textbox inset="0mm,0mm,0mm,0mm" style="mso-fit-shape-to-text:t;">
                <w:txbxContent>
                  <w:p w14:paraId="522D6AC8">
                    <w:pPr>
                      <w:pStyle w:val="10"/>
                    </w:pPr>
                    <w:r>
                      <w:fldChar w:fldCharType="begin"/>
                    </w:r>
                    <w:r>
                      <w:instrText xml:space="preserve"> PAGE  \* MERGEFORMAT </w:instrText>
                    </w:r>
                    <w:r>
                      <w:fldChar w:fldCharType="separate"/>
                    </w:r>
                    <w:r>
                      <w:t>37</w:t>
                    </w:r>
                    <w:r>
                      <w:fldChar w:fldCharType="end"/>
                    </w:r>
                  </w:p>
                </w:txbxContent>
              </v:textbox>
            </v:shape>
          </w:pict>
        </mc:Fallback>
      </mc:AlternateContent>
    </w:r>
    <w:r>
      <w:rPr>
        <w:rFonts w:hint="eastAsia"/>
        <w:lang w:val="en-US" w:eastAsia="zh-CN"/>
      </w:rPr>
      <w:tab/>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49372">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07ABF1">
                          <w:pPr>
                            <w:pStyle w:val="10"/>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APy9GrLAQAAmwMAAA4AAAAAAAAAAQAgAAAAHgEAAGRycy9lMm9E&#10;b2MueG1sUEsFBgAAAAAGAAYAWQEAAFsFAAAAAA==&#10;">
              <v:fill on="f" focussize="0,0"/>
              <v:stroke on="f"/>
              <v:imagedata o:title=""/>
              <o:lock v:ext="edit" aspectratio="f"/>
              <v:textbox inset="0mm,0mm,0mm,0mm" style="mso-fit-shape-to-text:t;">
                <w:txbxContent>
                  <w:p w14:paraId="5F07ABF1">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1FF6C">
    <w:pPr>
      <w:pStyle w:val="10"/>
      <w:bidi w:val="0"/>
      <w:rPr>
        <w:rFonts w:hint="default"/>
        <w:lang w:val="en-US"/>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D65ECD">
                          <w:pPr>
                            <w:pStyle w:val="10"/>
                          </w:pPr>
                          <w:r>
                            <w:fldChar w:fldCharType="begin"/>
                          </w:r>
                          <w:r>
                            <w:instrText xml:space="preserve"> PAGE  \* MERGEFORMAT </w:instrText>
                          </w:r>
                          <w:r>
                            <w:fldChar w:fldCharType="separate"/>
                          </w:r>
                          <w:r>
                            <w:t>37</w:t>
                          </w:r>
                          <w:r>
                            <w:fldChar w:fldCharType="end"/>
                          </w:r>
                        </w:p>
                      </w:txbxContent>
                    </wps:txbx>
                    <wps:bodyPr wrap="none" lIns="0" tIns="0" rIns="0" bIns="0" upright="1">
                      <a:spAutoFit/>
                    </wps:bodyPr>
                  </wps:wsp>
                </a:graphicData>
              </a:graphic>
            </wp:anchor>
          </w:drawing>
        </mc:Choice>
        <mc:Fallback>
          <w:pict>
            <v:shape id="文本框 53"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FVFTr3LAQAAmwMAAA4AAAAAAAAAAQAgAAAAHgEAAGRycy9lMm9E&#10;b2MueG1sUEsFBgAAAAAGAAYAWQEAAFsFAAAAAA==&#10;">
              <v:fill on="f" focussize="0,0"/>
              <v:stroke on="f"/>
              <v:imagedata o:title=""/>
              <o:lock v:ext="edit" aspectratio="f"/>
              <v:textbox inset="0mm,0mm,0mm,0mm" style="mso-fit-shape-to-text:t;">
                <w:txbxContent>
                  <w:p w14:paraId="51D65ECD">
                    <w:pPr>
                      <w:pStyle w:val="10"/>
                    </w:pPr>
                    <w:r>
                      <w:fldChar w:fldCharType="begin"/>
                    </w:r>
                    <w:r>
                      <w:instrText xml:space="preserve"> PAGE  \* MERGEFORMAT </w:instrText>
                    </w:r>
                    <w:r>
                      <w:fldChar w:fldCharType="separate"/>
                    </w:r>
                    <w:r>
                      <w:t>37</w:t>
                    </w:r>
                    <w:r>
                      <w:fldChar w:fldCharType="end"/>
                    </w:r>
                  </w:p>
                </w:txbxContent>
              </v:textbox>
            </v:shape>
          </w:pict>
        </mc:Fallback>
      </mc:AlternateContent>
    </w:r>
    <w:r>
      <w:rPr>
        <w:rFonts w:hint="eastAsia"/>
        <w:lang w:val="en-US" w:eastAsia="zh-CN"/>
      </w:rPr>
      <w:tab/>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0EBE4">
    <w:pPr>
      <w:pStyle w:val="1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FF1B3B">
                          <w:pPr>
                            <w:pStyle w:val="10"/>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文本框 54"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FidCf8oBAACbAwAADgAAAAAAAAABACAAAAAeAQAAZHJzL2Uyb0Rv&#10;Yy54bWxQSwUGAAAAAAYABgBZAQAAWgUAAAAA&#10;">
              <v:fill on="f" focussize="0,0"/>
              <v:stroke on="f"/>
              <v:imagedata o:title=""/>
              <o:lock v:ext="edit" aspectratio="f"/>
              <v:textbox inset="0mm,0mm,0mm,0mm" style="mso-fit-shape-to-text:t;">
                <w:txbxContent>
                  <w:p w14:paraId="3DFF1B3B">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5E20">
    <w:pPr>
      <w:pStyle w:val="10"/>
      <w:bidi w:val="0"/>
      <w:rPr>
        <w:rFonts w:hint="default"/>
        <w:lang w:val="en-US"/>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376DAA">
                          <w:pPr>
                            <w:pStyle w:val="10"/>
                          </w:pPr>
                          <w:r>
                            <w:fldChar w:fldCharType="begin"/>
                          </w:r>
                          <w:r>
                            <w:instrText xml:space="preserve"> PAGE  \* MERGEFORMAT </w:instrText>
                          </w:r>
                          <w:r>
                            <w:fldChar w:fldCharType="separate"/>
                          </w:r>
                          <w:r>
                            <w:t>37</w:t>
                          </w:r>
                          <w:r>
                            <w:fldChar w:fldCharType="end"/>
                          </w:r>
                        </w:p>
                      </w:txbxContent>
                    </wps:txbx>
                    <wps:bodyPr wrap="none" lIns="0" tIns="0" rIns="0" bIns="0" upright="1">
                      <a:spAutoFit/>
                    </wps:bodyPr>
                  </wps:wsp>
                </a:graphicData>
              </a:graphic>
            </wp:anchor>
          </w:drawing>
        </mc:Choice>
        <mc:Fallback>
          <w:pict>
            <v:shape id="文本框 55"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BAkPiozAEAAJsDAAAOAAAAAAAAAAEAIAAAAB4BAABkcnMvZTJv&#10;RG9jLnhtbFBLBQYAAAAABgAGAFkBAABcBQAAAAA=&#10;">
              <v:fill on="f" focussize="0,0"/>
              <v:stroke on="f"/>
              <v:imagedata o:title=""/>
              <o:lock v:ext="edit" aspectratio="f"/>
              <v:textbox inset="0mm,0mm,0mm,0mm" style="mso-fit-shape-to-text:t;">
                <w:txbxContent>
                  <w:p w14:paraId="1C376DAA">
                    <w:pPr>
                      <w:pStyle w:val="10"/>
                    </w:pPr>
                    <w:r>
                      <w:fldChar w:fldCharType="begin"/>
                    </w:r>
                    <w:r>
                      <w:instrText xml:space="preserve"> PAGE  \* MERGEFORMAT </w:instrText>
                    </w:r>
                    <w:r>
                      <w:fldChar w:fldCharType="separate"/>
                    </w:r>
                    <w:r>
                      <w:t>37</w:t>
                    </w:r>
                    <w:r>
                      <w:fldChar w:fldCharType="end"/>
                    </w:r>
                  </w:p>
                </w:txbxContent>
              </v:textbox>
            </v:shape>
          </w:pict>
        </mc:Fallback>
      </mc:AlternateContent>
    </w:r>
    <w:r>
      <w:rPr>
        <w:rFonts w:hint="eastAsia"/>
        <w:lang w:val="en-US" w:eastAsia="zh-CN"/>
      </w:rPr>
      <w:tab/>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6558A">
    <w:pPr>
      <w:pStyle w:val="10"/>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FC9AC9">
                          <w:pPr>
                            <w:pStyle w:val="10"/>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文本框 5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FoHecoBAACbAwAADgAAAGRycy9lMm9Eb2MueG1srVPNjtMwEL4j8Q6W&#10;79TZIlZ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i2oa9x7o5bnPj5x/fzz9/nX9/I&#10;m+ssUB+gxrz7gJlpeOsHXJvZD+jMvAcVbf4iI4JxlPd0kVcOiYj8aLVcrSoMCYzNF8RnD89DhPRO&#10;ekuy0dCI8yuy8uMHSGPqnJKrOX+njSkzNO4fB2JmD8u9jz1mKw27YSK08+0J+fQ4+oY63HRKzHuH&#10;yuYtmY04G7vZOISo911Zo1wPwu0hYROlt1xhhJ0K48wKu2m/8lL8fS9ZD//U5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LFoHecoBAACbAwAADgAAAAAAAAABACAAAAAeAQAAZHJzL2Uyb0Rv&#10;Yy54bWxQSwUGAAAAAAYABgBZAQAAWgUAAAAA&#10;">
              <v:fill on="f" focussize="0,0"/>
              <v:stroke on="f"/>
              <v:imagedata o:title=""/>
              <o:lock v:ext="edit" aspectratio="f"/>
              <v:textbox inset="0mm,0mm,0mm,0mm" style="mso-fit-shape-to-text:t;">
                <w:txbxContent>
                  <w:p w14:paraId="20FC9AC9">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BE8FE">
    <w:pPr>
      <w:pStyle w:val="11"/>
      <w:pBdr>
        <w:bottom w:val="none" w:color="auto" w:sz="0" w:space="1"/>
      </w:pBdr>
      <w:jc w:val="center"/>
      <w:rPr>
        <w:rFonts w:hint="default" w:eastAsia="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CD74B">
    <w:pPr>
      <w:pStyle w:val="11"/>
      <w:jc w:val="center"/>
      <w:rPr>
        <w:rFonts w:hint="default" w:eastAsia="宋体"/>
        <w:lang w:val="en-US" w:eastAsia="zh-CN"/>
      </w:rPr>
    </w:pPr>
    <w:r>
      <w:rPr>
        <w:rFonts w:hint="eastAsia" w:eastAsia="宋体"/>
        <w:lang w:val="en-US" w:eastAsia="zh-CN"/>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7B837">
    <w:pPr>
      <w:pStyle w:val="11"/>
      <w:jc w:val="center"/>
      <w:rPr>
        <w:rFonts w:hint="default" w:eastAsia="宋体"/>
        <w:lang w:val="en-US" w:eastAsia="zh-CN"/>
      </w:rPr>
    </w:pPr>
    <w:r>
      <w:rPr>
        <w:rFonts w:hint="eastAsia" w:eastAsia="宋体"/>
        <w:lang w:val="en-US" w:eastAsia="zh-CN"/>
      </w:rPr>
      <w:t>第2章 基本概念与理论基础</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CF916">
    <w:pPr>
      <w:pStyle w:val="11"/>
      <w:pBdr>
        <w:bottom w:val="none" w:color="auto" w:sz="0" w:space="1"/>
      </w:pBdr>
      <w:jc w:val="center"/>
      <w:rPr>
        <w:rFonts w:hint="default" w:eastAsia="宋体"/>
        <w:sz w:val="21"/>
        <w:szCs w:val="21"/>
        <w:lang w:val="en-US" w:eastAsia="zh-CN"/>
      </w:rPr>
    </w:pPr>
    <w:r>
      <w:rPr>
        <w:rFonts w:hint="eastAsia" w:eastAsia="宋体"/>
        <w:sz w:val="21"/>
        <w:szCs w:val="21"/>
        <w:lang w:val="en-US" w:eastAsia="zh-CN"/>
      </w:rPr>
      <w:t>摘 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27911">
    <w:pPr>
      <w:pStyle w:val="11"/>
      <w:jc w:val="center"/>
      <w:rPr>
        <w:rFonts w:hint="default" w:eastAsia="宋体"/>
        <w:lang w:val="en-US" w:eastAsia="zh-CN"/>
      </w:rPr>
    </w:pPr>
    <w:r>
      <w:rPr>
        <w:rFonts w:hint="eastAsia" w:eastAsia="宋体"/>
        <w:lang w:val="en-US" w:eastAsia="zh-CN"/>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120F6">
    <w:pPr>
      <w:pStyle w:val="11"/>
      <w:pBdr>
        <w:bottom w:val="none" w:color="auto" w:sz="0" w:space="1"/>
      </w:pBdr>
      <w:jc w:val="center"/>
      <w:rPr>
        <w:rFonts w:hint="default" w:eastAsia="宋体"/>
        <w:sz w:val="21"/>
        <w:szCs w:val="21"/>
        <w:lang w:val="en-US" w:eastAsia="zh-CN"/>
      </w:rPr>
    </w:pPr>
    <w:r>
      <w:rPr>
        <w:rFonts w:hint="eastAsia" w:eastAsia="宋体"/>
        <w:lang w:val="en-US" w:eastAsia="zh-CN"/>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2FF30">
    <w:pPr>
      <w:pStyle w:val="11"/>
      <w:jc w:val="center"/>
      <w:rPr>
        <w:rFonts w:hint="default" w:eastAsia="宋体"/>
        <w:lang w:val="en-US" w:eastAsia="zh-CN"/>
      </w:rPr>
    </w:pPr>
    <w:r>
      <w:rPr>
        <w:rFonts w:hint="eastAsia" w:eastAsia="宋体"/>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3FAD2">
    <w:pPr>
      <w:pStyle w:val="11"/>
      <w:pBdr>
        <w:bottom w:val="single" w:color="auto" w:sz="4" w:space="1"/>
      </w:pBdr>
      <w:jc w:val="center"/>
      <w:rPr>
        <w:rFonts w:hint="default" w:eastAsia="宋体"/>
        <w:sz w:val="21"/>
        <w:szCs w:val="21"/>
        <w:lang w:val="en-US" w:eastAsia="zh-CN"/>
      </w:rPr>
    </w:pPr>
    <w:r>
      <w:rPr>
        <w:rFonts w:hint="eastAsia" w:eastAsia="宋体"/>
        <w:lang w:val="en-US" w:eastAsia="zh-CN"/>
      </w:rPr>
      <w:t>第1章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035F6">
    <w:pPr>
      <w:pStyle w:val="11"/>
      <w:jc w:val="center"/>
      <w:rPr>
        <w:rFonts w:hint="default" w:eastAsia="宋体"/>
        <w:lang w:val="en-US" w:eastAsia="zh-CN"/>
      </w:rPr>
    </w:pPr>
    <w:r>
      <w:rPr>
        <w:rFonts w:hint="eastAsia" w:eastAsia="宋体"/>
        <w:lang w:val="en-US" w:eastAsia="zh-CN"/>
      </w:rPr>
      <w:t>电子科技大学成都学院本科毕业论文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114B2">
    <w:pPr>
      <w:pStyle w:val="11"/>
      <w:pBdr>
        <w:bottom w:val="none" w:color="auto" w:sz="0" w:space="1"/>
      </w:pBdr>
      <w:jc w:val="center"/>
      <w:rPr>
        <w:rFonts w:hint="default" w:eastAsia="宋体"/>
        <w:sz w:val="21"/>
        <w:szCs w:val="21"/>
        <w:lang w:val="en-US" w:eastAsia="zh-CN"/>
      </w:rPr>
    </w:pPr>
    <w:r>
      <w:rPr>
        <w:rFonts w:hint="eastAsia" w:eastAsia="宋体"/>
        <w:lang w:val="en-US" w:eastAsia="zh-CN"/>
      </w:rPr>
      <w:t>第2章 基本概念与理论基础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F5E2A">
    <w:pPr>
      <w:pStyle w:val="11"/>
      <w:jc w:val="center"/>
      <w:rPr>
        <w:rFonts w:hint="default" w:eastAsia="宋体"/>
        <w:lang w:val="en-US" w:eastAsia="zh-CN"/>
      </w:rPr>
    </w:pPr>
    <w:r>
      <w:rPr>
        <w:rFonts w:hint="eastAsia" w:eastAsia="宋体"/>
        <w:lang w:val="en-US" w:eastAsia="zh-CN"/>
      </w:rPr>
      <w:t>电子科技大学成都学院本科毕业论文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40F4E">
    <w:pPr>
      <w:pStyle w:val="11"/>
      <w:jc w:val="center"/>
      <w:rPr>
        <w:rFonts w:hint="default" w:eastAsia="宋体"/>
        <w:lang w:val="en-US" w:eastAsia="zh-CN"/>
      </w:rPr>
    </w:pPr>
    <w:r>
      <w:rPr>
        <w:rFonts w:hint="eastAsia" w:eastAsia="宋体"/>
        <w:lang w:val="en-US" w:eastAsia="zh-CN"/>
      </w:rPr>
      <w:t>第2章 基本概念与理论基础</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EC198">
    <w:pPr>
      <w:pStyle w:val="11"/>
      <w:pBdr>
        <w:bottom w:val="none" w:color="auto" w:sz="0" w:space="1"/>
      </w:pBdr>
      <w:jc w:val="center"/>
      <w:rPr>
        <w:rFonts w:hint="default" w:eastAsia="宋体"/>
        <w:sz w:val="21"/>
        <w:szCs w:val="21"/>
        <w:lang w:val="en-US" w:eastAsia="zh-CN"/>
      </w:rPr>
    </w:pPr>
    <w:r>
      <w:rPr>
        <w:rFonts w:hint="eastAsia" w:eastAsia="宋体"/>
        <w:lang w:val="en-US" w:eastAsia="zh-CN"/>
      </w:rPr>
      <w:t>第3章 中国对俄罗斯农产品出口的现状分析</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9E328">
    <w:pPr>
      <w:pStyle w:val="11"/>
      <w:pBdr>
        <w:bottom w:val="none" w:color="auto" w:sz="0" w:space="1"/>
      </w:pBdr>
      <w:jc w:val="center"/>
      <w:rPr>
        <w:rFonts w:hint="default" w:eastAsia="宋体"/>
        <w:sz w:val="21"/>
        <w:szCs w:val="21"/>
        <w:lang w:val="en-US" w:eastAsia="zh-CN"/>
      </w:rPr>
    </w:pPr>
    <w:r>
      <w:rPr>
        <w:rFonts w:hint="eastAsia" w:eastAsia="宋体"/>
        <w:lang w:val="en-US" w:eastAsia="zh-CN"/>
      </w:rPr>
      <w:t>第4章 基于现状分析的核心结论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186B3">
    <w:pPr>
      <w:pStyle w:val="11"/>
      <w:pBdr>
        <w:bottom w:val="none" w:color="auto" w:sz="0" w:space="1"/>
      </w:pBdr>
      <w:jc w:val="center"/>
      <w:rPr>
        <w:rFonts w:hint="default" w:eastAsia="宋体"/>
        <w:sz w:val="21"/>
        <w:szCs w:val="21"/>
        <w:lang w:val="en-US" w:eastAsia="zh-CN"/>
      </w:rPr>
    </w:pPr>
    <w:r>
      <w:rPr>
        <w:rFonts w:hint="eastAsia" w:eastAsia="宋体"/>
        <w:lang w:val="en-US" w:eastAsia="zh-CN"/>
      </w:rPr>
      <w:t>第6章 中国对俄罗斯农产品出口的对策建议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7077C">
    <w:pPr>
      <w:pStyle w:val="11"/>
      <w:pBdr>
        <w:bottom w:val="none" w:color="auto" w:sz="0" w:space="1"/>
      </w:pBdr>
      <w:jc w:val="center"/>
      <w:rPr>
        <w:rFonts w:hint="default" w:eastAsia="宋体"/>
        <w:sz w:val="21"/>
        <w:szCs w:val="21"/>
        <w:lang w:val="en-US" w:eastAsia="zh-CN"/>
      </w:rPr>
    </w:pPr>
    <w:r>
      <w:rPr>
        <w:rFonts w:hint="eastAsia" w:eastAsia="宋体"/>
        <w:lang w:val="en-US" w:eastAsia="zh-CN"/>
      </w:rPr>
      <w:t>第7章 结论和展望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EA525">
    <w:pPr>
      <w:pStyle w:val="11"/>
      <w:pBdr>
        <w:bottom w:val="single" w:color="auto" w:sz="4" w:space="1"/>
      </w:pBdr>
      <w:jc w:val="center"/>
      <w:rPr>
        <w:rFonts w:hint="default" w:eastAsia="宋体"/>
        <w:sz w:val="21"/>
        <w:szCs w:val="21"/>
        <w:lang w:val="en-US" w:eastAsia="zh-CN"/>
      </w:rPr>
    </w:pPr>
    <w:r>
      <w:rPr>
        <w:rFonts w:hint="eastAsia" w:eastAsia="宋体"/>
        <w:lang w:val="en-US" w:eastAsia="zh-CN"/>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F402A">
    <w:pPr>
      <w:pStyle w:val="11"/>
      <w:jc w:val="center"/>
      <w:rPr>
        <w:rFonts w:hint="default" w:eastAsia="宋体"/>
        <w:lang w:val="en-US" w:eastAsia="zh-CN"/>
      </w:rPr>
    </w:pPr>
    <w:r>
      <w:rPr>
        <w:rFonts w:hint="eastAsia" w:eastAsia="宋体"/>
        <w:lang w:val="en-US" w:eastAsia="zh-CN"/>
      </w:rPr>
      <w:t>致谢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51FB6">
    <w:pPr>
      <w:pStyle w:val="11"/>
      <w:pBdr>
        <w:bottom w:val="single" w:color="auto" w:sz="4" w:space="1"/>
      </w:pBdr>
      <w:jc w:val="center"/>
      <w:rPr>
        <w:rFonts w:hint="default" w:eastAsia="宋体"/>
        <w:sz w:val="21"/>
        <w:szCs w:val="21"/>
        <w:lang w:val="en-US" w:eastAsia="zh-CN"/>
      </w:rPr>
    </w:pPr>
    <w:r>
      <w:rPr>
        <w:rFonts w:hint="eastAsia" w:eastAsia="宋体"/>
        <w:lang w:val="en-US" w:eastAsia="zh-CN"/>
      </w:rPr>
      <w:t>参考文献</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B4BF7">
    <w:pPr>
      <w:pStyle w:val="11"/>
      <w:jc w:val="center"/>
      <w:rPr>
        <w:rFonts w:hint="default" w:eastAsia="宋体"/>
        <w:lang w:val="en-US" w:eastAsia="zh-CN"/>
      </w:rPr>
    </w:pPr>
    <w:r>
      <w:rPr>
        <w:rFonts w:hint="eastAsia" w:eastAsia="宋体"/>
        <w:lang w:val="en-US" w:eastAsia="zh-CN"/>
      </w:rPr>
      <w:t>电子科技大学成都学院本科毕业论文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A6C20">
    <w:pPr>
      <w:pStyle w:val="11"/>
      <w:pBdr>
        <w:bottom w:val="single" w:color="auto" w:sz="4" w:space="1"/>
      </w:pBdr>
      <w:jc w:val="center"/>
      <w:rPr>
        <w:rFonts w:hint="default" w:eastAsia="宋体"/>
        <w:sz w:val="21"/>
        <w:szCs w:val="21"/>
        <w:lang w:val="en-US" w:eastAsia="zh-CN"/>
      </w:rPr>
    </w:pPr>
    <w:r>
      <w:rPr>
        <w:rFonts w:hint="eastAsia" w:eastAsia="宋体"/>
        <w:lang w:val="en-US" w:eastAsia="zh-CN"/>
      </w:rPr>
      <w:t>外文资料原文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C10F1">
    <w:pPr>
      <w:pStyle w:val="11"/>
      <w:jc w:val="center"/>
      <w:rPr>
        <w:rFonts w:hint="default" w:eastAsia="宋体"/>
        <w:lang w:val="en-US" w:eastAsia="zh-CN"/>
      </w:rPr>
    </w:pPr>
    <w:r>
      <w:rPr>
        <w:rFonts w:hint="eastAsia" w:eastAsia="宋体"/>
        <w:lang w:val="en-US" w:eastAsia="zh-CN"/>
      </w:rPr>
      <w:t>电子科技大学成都学院本科毕业论文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96C00">
    <w:pPr>
      <w:pStyle w:val="11"/>
      <w:pBdr>
        <w:bottom w:val="single" w:color="auto" w:sz="4" w:space="1"/>
      </w:pBdr>
      <w:jc w:val="center"/>
      <w:rPr>
        <w:rFonts w:hint="default" w:eastAsia="宋体"/>
        <w:sz w:val="21"/>
        <w:szCs w:val="21"/>
        <w:lang w:val="en-US" w:eastAsia="zh-CN"/>
      </w:rPr>
    </w:pPr>
    <w:r>
      <w:rPr>
        <w:rFonts w:hint="eastAsia" w:eastAsia="宋体"/>
        <w:lang w:val="en-US" w:eastAsia="zh-CN"/>
      </w:rPr>
      <w:t>译文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83BC6">
    <w:pPr>
      <w:pStyle w:val="11"/>
      <w:jc w:val="center"/>
      <w:rPr>
        <w:rFonts w:hint="default" w:eastAsia="宋体"/>
        <w:lang w:val="en-US" w:eastAsia="zh-CN"/>
      </w:rPr>
    </w:pPr>
    <w:r>
      <w:rPr>
        <w:rFonts w:hint="eastAsia" w:eastAsia="宋体"/>
        <w:lang w:val="en-US" w:eastAsia="zh-CN"/>
      </w:rPr>
      <w:t>电子科技大学成都学院本科毕业论文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B20754"/>
    <w:multiLevelType w:val="multilevel"/>
    <w:tmpl w:val="18B20754"/>
    <w:lvl w:ilvl="0" w:tentative="0">
      <w:start w:val="1"/>
      <w:numFmt w:val="decimal"/>
      <w:lvlText w:val="第%1章"/>
      <w:lvlJc w:val="left"/>
      <w:pPr>
        <w:tabs>
          <w:tab w:val="left" w:pos="284"/>
        </w:tabs>
        <w:ind w:left="0" w:firstLine="0"/>
      </w:pPr>
      <w:rPr>
        <w:rFonts w:hint="eastAsia"/>
      </w:rPr>
    </w:lvl>
    <w:lvl w:ilvl="1" w:tentative="0">
      <w:start w:val="1"/>
      <w:numFmt w:val="decimal"/>
      <w:pStyle w:val="24"/>
      <w:isLgl/>
      <w:suff w:val="space"/>
      <w:lvlText w:val="%1.%2"/>
      <w:lvlJc w:val="left"/>
      <w:pPr>
        <w:ind w:left="0" w:firstLine="0"/>
      </w:pPr>
      <w:rPr>
        <w:rFonts w:hint="eastAsia"/>
      </w:rPr>
    </w:lvl>
    <w:lvl w:ilvl="2" w:tentative="0">
      <w:start w:val="1"/>
      <w:numFmt w:val="decimal"/>
      <w:pStyle w:val="25"/>
      <w:isLgl/>
      <w:suff w:val="space"/>
      <w:lvlText w:val="%1.%2.%3"/>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decimal"/>
      <w:lvlRestart w:val="1"/>
      <w:isLgl/>
      <w:suff w:val="space"/>
      <w:lvlText w:val="图%1-%8"/>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
    <w:nsid w:val="5AB5C9F1"/>
    <w:multiLevelType w:val="singleLevel"/>
    <w:tmpl w:val="5AB5C9F1"/>
    <w:lvl w:ilvl="0" w:tentative="0">
      <w:start w:val="1"/>
      <w:numFmt w:val="decimal"/>
      <w:suff w:val="nothing"/>
      <w:lvlText w:val="[%1]"/>
      <w:lvlJc w:val="left"/>
      <w:pPr>
        <w:tabs>
          <w:tab w:val="left" w:pos="0"/>
        </w:tabs>
        <w:ind w:left="0" w:firstLine="0"/>
      </w:pPr>
      <w:rPr>
        <w:rFont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ndrew">
    <w15:presenceInfo w15:providerId="None" w15:userId="Andre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360"/>
  <w:evenAndOddHeaders w:val="1"/>
  <w:displayHorizontalDrawingGridEvery w:val="1"/>
  <w:displayVerticalDrawingGridEvery w:val="1"/>
  <w:noPunctuationKerning w:val="1"/>
  <w:characterSpacingControl w:val="doNotCompress"/>
  <w:compat>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wYzI4ZWViYjNjYWE0YTUxOGM0MjA4ZTllNTY1YzAifQ=="/>
  </w:docVars>
  <w:rsids>
    <w:rsidRoot w:val="00000000"/>
    <w:rsid w:val="00B568AF"/>
    <w:rsid w:val="026E4E6E"/>
    <w:rsid w:val="02AB5317"/>
    <w:rsid w:val="0554318D"/>
    <w:rsid w:val="05C375FE"/>
    <w:rsid w:val="0630278C"/>
    <w:rsid w:val="06616EA7"/>
    <w:rsid w:val="06861FF1"/>
    <w:rsid w:val="070B1B4E"/>
    <w:rsid w:val="077E46F7"/>
    <w:rsid w:val="084C5688"/>
    <w:rsid w:val="088272FC"/>
    <w:rsid w:val="09D41C79"/>
    <w:rsid w:val="0B480DF7"/>
    <w:rsid w:val="0BE31190"/>
    <w:rsid w:val="0C26386F"/>
    <w:rsid w:val="0DB260D8"/>
    <w:rsid w:val="0DE43D99"/>
    <w:rsid w:val="12DB63A2"/>
    <w:rsid w:val="15244D54"/>
    <w:rsid w:val="152B4878"/>
    <w:rsid w:val="15627A9C"/>
    <w:rsid w:val="157A1EF7"/>
    <w:rsid w:val="1656474A"/>
    <w:rsid w:val="16B0772A"/>
    <w:rsid w:val="16CD3E38"/>
    <w:rsid w:val="170073CC"/>
    <w:rsid w:val="173C73AE"/>
    <w:rsid w:val="185C02AD"/>
    <w:rsid w:val="190B6E9A"/>
    <w:rsid w:val="1AD0039B"/>
    <w:rsid w:val="1B425920"/>
    <w:rsid w:val="1CEB8169"/>
    <w:rsid w:val="1D384F62"/>
    <w:rsid w:val="1DED02E1"/>
    <w:rsid w:val="1F4E21C9"/>
    <w:rsid w:val="1F7DE75F"/>
    <w:rsid w:val="20E21FD6"/>
    <w:rsid w:val="24CC6311"/>
    <w:rsid w:val="254D1D64"/>
    <w:rsid w:val="25D6266F"/>
    <w:rsid w:val="276D79B0"/>
    <w:rsid w:val="277B442A"/>
    <w:rsid w:val="29427670"/>
    <w:rsid w:val="29464166"/>
    <w:rsid w:val="295F67B3"/>
    <w:rsid w:val="2ACD0453"/>
    <w:rsid w:val="2C9A4365"/>
    <w:rsid w:val="2E5A0131"/>
    <w:rsid w:val="2E7FB343"/>
    <w:rsid w:val="2F732D22"/>
    <w:rsid w:val="30BC694C"/>
    <w:rsid w:val="30D3658E"/>
    <w:rsid w:val="32816D35"/>
    <w:rsid w:val="33A82DCE"/>
    <w:rsid w:val="36376D70"/>
    <w:rsid w:val="369F5D80"/>
    <w:rsid w:val="36DBF85F"/>
    <w:rsid w:val="373DC5DC"/>
    <w:rsid w:val="377FC88F"/>
    <w:rsid w:val="37E749EE"/>
    <w:rsid w:val="3A014237"/>
    <w:rsid w:val="3A7B3A28"/>
    <w:rsid w:val="3B6F2DC2"/>
    <w:rsid w:val="3BFC2946"/>
    <w:rsid w:val="3D3BF3E4"/>
    <w:rsid w:val="3D5E3597"/>
    <w:rsid w:val="3DF792DA"/>
    <w:rsid w:val="3DFA8D6E"/>
    <w:rsid w:val="3E3EE535"/>
    <w:rsid w:val="3E7F9004"/>
    <w:rsid w:val="3EF17A31"/>
    <w:rsid w:val="3F7FFF4D"/>
    <w:rsid w:val="3FEFE880"/>
    <w:rsid w:val="3FF7BBDF"/>
    <w:rsid w:val="42996F75"/>
    <w:rsid w:val="459308C3"/>
    <w:rsid w:val="464F640B"/>
    <w:rsid w:val="47061200"/>
    <w:rsid w:val="494B0A69"/>
    <w:rsid w:val="49753CE5"/>
    <w:rsid w:val="49961FD3"/>
    <w:rsid w:val="49A16ED1"/>
    <w:rsid w:val="4AFBBCEC"/>
    <w:rsid w:val="4B3A2B43"/>
    <w:rsid w:val="4B835B73"/>
    <w:rsid w:val="4B906E00"/>
    <w:rsid w:val="4CBD39F3"/>
    <w:rsid w:val="4D6A89DA"/>
    <w:rsid w:val="4D6C0FAE"/>
    <w:rsid w:val="4D752558"/>
    <w:rsid w:val="4E232204"/>
    <w:rsid w:val="4EFE032C"/>
    <w:rsid w:val="4F670D8F"/>
    <w:rsid w:val="4FA10FB4"/>
    <w:rsid w:val="4FFB4CDD"/>
    <w:rsid w:val="4FFBBC9D"/>
    <w:rsid w:val="50252174"/>
    <w:rsid w:val="50632B3C"/>
    <w:rsid w:val="52B34ECF"/>
    <w:rsid w:val="52E73088"/>
    <w:rsid w:val="53C01C5E"/>
    <w:rsid w:val="53C7314D"/>
    <w:rsid w:val="5421547A"/>
    <w:rsid w:val="5426635A"/>
    <w:rsid w:val="55D3484A"/>
    <w:rsid w:val="5695509B"/>
    <w:rsid w:val="57B31DB2"/>
    <w:rsid w:val="57FF9BA4"/>
    <w:rsid w:val="58733B38"/>
    <w:rsid w:val="589742A3"/>
    <w:rsid w:val="58FC3B2E"/>
    <w:rsid w:val="5B449818"/>
    <w:rsid w:val="5B53C0F2"/>
    <w:rsid w:val="5BF6B666"/>
    <w:rsid w:val="5BFF3194"/>
    <w:rsid w:val="5CFFAFC2"/>
    <w:rsid w:val="5DD373C9"/>
    <w:rsid w:val="5DF7134C"/>
    <w:rsid w:val="5DFF3A89"/>
    <w:rsid w:val="5DFF8A84"/>
    <w:rsid w:val="5F7FA505"/>
    <w:rsid w:val="5F8E406A"/>
    <w:rsid w:val="5FEDF42B"/>
    <w:rsid w:val="63BF6C40"/>
    <w:rsid w:val="649F116D"/>
    <w:rsid w:val="6549658F"/>
    <w:rsid w:val="65FD57B9"/>
    <w:rsid w:val="66ED15E3"/>
    <w:rsid w:val="66F68567"/>
    <w:rsid w:val="679C0BC7"/>
    <w:rsid w:val="67F31528"/>
    <w:rsid w:val="68437083"/>
    <w:rsid w:val="68AA5A98"/>
    <w:rsid w:val="695C3ADF"/>
    <w:rsid w:val="6A707ED8"/>
    <w:rsid w:val="6BF52BEB"/>
    <w:rsid w:val="6CAA35EF"/>
    <w:rsid w:val="6CC04758"/>
    <w:rsid w:val="6CEB172F"/>
    <w:rsid w:val="6CEFA540"/>
    <w:rsid w:val="6D6D8D90"/>
    <w:rsid w:val="6EC16F54"/>
    <w:rsid w:val="6EFF6761"/>
    <w:rsid w:val="6FB7A669"/>
    <w:rsid w:val="6FBFF693"/>
    <w:rsid w:val="717E3975"/>
    <w:rsid w:val="722E2B52"/>
    <w:rsid w:val="72887BA0"/>
    <w:rsid w:val="72EF2F60"/>
    <w:rsid w:val="73FE93EB"/>
    <w:rsid w:val="75355BBC"/>
    <w:rsid w:val="75A7F412"/>
    <w:rsid w:val="75B7E288"/>
    <w:rsid w:val="762E0C6F"/>
    <w:rsid w:val="764D08BD"/>
    <w:rsid w:val="76FB111D"/>
    <w:rsid w:val="789F0C51"/>
    <w:rsid w:val="79623EA7"/>
    <w:rsid w:val="7A225F25"/>
    <w:rsid w:val="7AA02113"/>
    <w:rsid w:val="7ACB78C0"/>
    <w:rsid w:val="7AFD1F1B"/>
    <w:rsid w:val="7B3FAADC"/>
    <w:rsid w:val="7B6D2F49"/>
    <w:rsid w:val="7BD7A53C"/>
    <w:rsid w:val="7BDE7A80"/>
    <w:rsid w:val="7BEC9268"/>
    <w:rsid w:val="7BFBC24C"/>
    <w:rsid w:val="7C0B35E0"/>
    <w:rsid w:val="7C5FC33E"/>
    <w:rsid w:val="7C6333F8"/>
    <w:rsid w:val="7CFBA60C"/>
    <w:rsid w:val="7D6E69CC"/>
    <w:rsid w:val="7D6F0C62"/>
    <w:rsid w:val="7DDD275B"/>
    <w:rsid w:val="7DEF4700"/>
    <w:rsid w:val="7DF6F55C"/>
    <w:rsid w:val="7DF790F3"/>
    <w:rsid w:val="7DFE683C"/>
    <w:rsid w:val="7E4713F8"/>
    <w:rsid w:val="7E5E4331"/>
    <w:rsid w:val="7E6F8CE1"/>
    <w:rsid w:val="7EBCD8D8"/>
    <w:rsid w:val="7EBFCAC7"/>
    <w:rsid w:val="7EE3D9B9"/>
    <w:rsid w:val="7EEE3A25"/>
    <w:rsid w:val="7F114BEC"/>
    <w:rsid w:val="7F3A7157"/>
    <w:rsid w:val="7F5D811C"/>
    <w:rsid w:val="7F67A7D4"/>
    <w:rsid w:val="7F9F0CFA"/>
    <w:rsid w:val="7FDA239A"/>
    <w:rsid w:val="7FF3BF29"/>
    <w:rsid w:val="7FFF9082"/>
    <w:rsid w:val="82FB11DC"/>
    <w:rsid w:val="84688526"/>
    <w:rsid w:val="8659F01F"/>
    <w:rsid w:val="86BF2064"/>
    <w:rsid w:val="8EEF3A64"/>
    <w:rsid w:val="8F5FE0B1"/>
    <w:rsid w:val="91FFAFFB"/>
    <w:rsid w:val="95FDC546"/>
    <w:rsid w:val="A9EB71F5"/>
    <w:rsid w:val="AABFBDD4"/>
    <w:rsid w:val="B3DE9557"/>
    <w:rsid w:val="B7EF864F"/>
    <w:rsid w:val="BAFBDE41"/>
    <w:rsid w:val="BEADEB18"/>
    <w:rsid w:val="BFF3EDA0"/>
    <w:rsid w:val="CF4B99CA"/>
    <w:rsid w:val="D2DFE263"/>
    <w:rsid w:val="D87FAEE2"/>
    <w:rsid w:val="D8EFE247"/>
    <w:rsid w:val="DAFD71E6"/>
    <w:rsid w:val="DCFB52B0"/>
    <w:rsid w:val="DD8B2F7C"/>
    <w:rsid w:val="DD9BEE0E"/>
    <w:rsid w:val="DE93B863"/>
    <w:rsid w:val="DF7E0267"/>
    <w:rsid w:val="E17F6E8F"/>
    <w:rsid w:val="E1EF37B7"/>
    <w:rsid w:val="E2DD49B8"/>
    <w:rsid w:val="E5F631ED"/>
    <w:rsid w:val="E6A68732"/>
    <w:rsid w:val="E7DD54BA"/>
    <w:rsid w:val="EB6A0CBE"/>
    <w:rsid w:val="ED7DB073"/>
    <w:rsid w:val="EDDF80DC"/>
    <w:rsid w:val="EE7FB296"/>
    <w:rsid w:val="EF5EF244"/>
    <w:rsid w:val="EFF7A517"/>
    <w:rsid w:val="EFFA66E7"/>
    <w:rsid w:val="F1BF170D"/>
    <w:rsid w:val="F30F3735"/>
    <w:rsid w:val="F397987E"/>
    <w:rsid w:val="F3EF160E"/>
    <w:rsid w:val="F77DD842"/>
    <w:rsid w:val="F7BE3693"/>
    <w:rsid w:val="F91B67EF"/>
    <w:rsid w:val="F9EDFD2E"/>
    <w:rsid w:val="FB3F1BC7"/>
    <w:rsid w:val="FB9A759D"/>
    <w:rsid w:val="FBDF6772"/>
    <w:rsid w:val="FDFF8023"/>
    <w:rsid w:val="FE7FBA9A"/>
    <w:rsid w:val="FE9BCDDB"/>
    <w:rsid w:val="FEB7FCCB"/>
    <w:rsid w:val="FEBBA784"/>
    <w:rsid w:val="FEEBE6E5"/>
    <w:rsid w:val="FF2F1D5C"/>
    <w:rsid w:val="FF3F6689"/>
    <w:rsid w:val="FF926B37"/>
    <w:rsid w:val="FFBF4172"/>
    <w:rsid w:val="FFC7B766"/>
    <w:rsid w:val="FFCF4AEB"/>
    <w:rsid w:val="FFDEB8C2"/>
    <w:rsid w:val="FFF39923"/>
    <w:rsid w:val="FFFAB47E"/>
    <w:rsid w:val="FFFB3E00"/>
    <w:rsid w:val="FFFBCBEA"/>
    <w:rsid w:val="FFFF0F2B"/>
    <w:rsid w:val="FFFF51C3"/>
    <w:rsid w:val="FFFFB5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uk-UA"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qFormat/>
    <w:uiPriority w:val="0"/>
  </w:style>
  <w:style w:type="table" w:default="1" w:styleId="15">
    <w:name w:val="Normal Table"/>
    <w:unhideWhenUsed/>
    <w:qFormat/>
    <w:uiPriority w:val="99"/>
    <w:tblPr>
      <w:tblCellMar>
        <w:top w:w="0" w:type="dxa"/>
        <w:left w:w="108" w:type="dxa"/>
        <w:bottom w:w="0" w:type="dxa"/>
        <w:right w:w="108" w:type="dxa"/>
      </w:tblCellMar>
    </w:tblPr>
  </w:style>
  <w:style w:type="paragraph" w:styleId="7">
    <w:name w:val="annotation text"/>
    <w:basedOn w:val="1"/>
    <w:qFormat/>
    <w:uiPriority w:val="0"/>
    <w:pPr>
      <w:jc w:val="left"/>
    </w:pPr>
  </w:style>
  <w:style w:type="paragraph" w:styleId="8">
    <w:name w:val="Body Text"/>
    <w:basedOn w:val="1"/>
    <w:qFormat/>
    <w:uiPriority w:val="0"/>
    <w:pPr>
      <w:spacing w:after="120"/>
    </w:pPr>
  </w:style>
  <w:style w:type="paragraph" w:styleId="9">
    <w:name w:val="toc 3"/>
    <w:basedOn w:val="1"/>
    <w:next w:val="1"/>
    <w:qFormat/>
    <w:uiPriority w:val="0"/>
    <w:pPr>
      <w:ind w:left="48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toc 2"/>
    <w:basedOn w:val="1"/>
    <w:next w:val="1"/>
    <w:qFormat/>
    <w:uiPriority w:val="0"/>
    <w:pPr>
      <w:ind w:left="24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0"/>
    <w:rPr>
      <w:color w:val="0000FF"/>
      <w:u w:val="single"/>
    </w:rPr>
  </w:style>
  <w:style w:type="paragraph" w:customStyle="1" w:styleId="21">
    <w:name w:val="摘要等"/>
    <w:basedOn w:val="22"/>
    <w:qFormat/>
    <w:uiPriority w:val="0"/>
    <w:pPr>
      <w:spacing w:before="600" w:after="600"/>
      <w:ind w:firstLine="0" w:firstLineChars="0"/>
      <w:jc w:val="center"/>
    </w:pPr>
    <w:rPr>
      <w:rFonts w:eastAsia="黑体"/>
      <w:sz w:val="30"/>
    </w:rPr>
  </w:style>
  <w:style w:type="paragraph" w:customStyle="1" w:styleId="22">
    <w:name w:val="正文样式"/>
    <w:basedOn w:val="1"/>
    <w:qFormat/>
    <w:uiPriority w:val="0"/>
    <w:pPr>
      <w:spacing w:line="400" w:lineRule="exact"/>
      <w:ind w:firstLine="200" w:firstLineChars="200"/>
    </w:pPr>
    <w:rPr>
      <w:sz w:val="24"/>
    </w:rPr>
  </w:style>
  <w:style w:type="paragraph" w:customStyle="1" w:styleId="23">
    <w:name w:val="样式 正文样式 + 首行缩进:  2 字符"/>
    <w:basedOn w:val="22"/>
    <w:qFormat/>
    <w:uiPriority w:val="0"/>
    <w:pPr>
      <w:spacing w:before="60"/>
    </w:pPr>
    <w:rPr>
      <w:rFonts w:cs="宋体"/>
      <w:szCs w:val="20"/>
    </w:rPr>
  </w:style>
  <w:style w:type="paragraph" w:customStyle="1" w:styleId="24">
    <w:name w:val="一级节标题"/>
    <w:basedOn w:val="3"/>
    <w:qFormat/>
    <w:uiPriority w:val="0"/>
    <w:pPr>
      <w:numPr>
        <w:ilvl w:val="1"/>
        <w:numId w:val="1"/>
      </w:numPr>
      <w:spacing w:before="360" w:after="360" w:line="400" w:lineRule="exact"/>
    </w:pPr>
    <w:rPr>
      <w:rFonts w:ascii="Times New Roman" w:hAnsi="Times New Roman"/>
      <w:b w:val="0"/>
      <w:sz w:val="28"/>
      <w:szCs w:val="28"/>
    </w:rPr>
  </w:style>
  <w:style w:type="paragraph" w:customStyle="1" w:styleId="25">
    <w:name w:val="二级节标题"/>
    <w:basedOn w:val="4"/>
    <w:qFormat/>
    <w:uiPriority w:val="0"/>
    <w:pPr>
      <w:numPr>
        <w:ilvl w:val="2"/>
        <w:numId w:val="1"/>
      </w:numPr>
      <w:spacing w:before="240" w:after="240" w:line="400" w:lineRule="exact"/>
    </w:pPr>
    <w:rPr>
      <w:rFonts w:eastAsia="黑体"/>
      <w:b w:val="0"/>
      <w:sz w:val="24"/>
      <w:szCs w:val="24"/>
    </w:rPr>
  </w:style>
  <w:style w:type="paragraph" w:customStyle="1" w:styleId="26">
    <w:name w:val="样式1"/>
    <w:basedOn w:val="1"/>
    <w:link w:val="27"/>
    <w:qFormat/>
    <w:uiPriority w:val="0"/>
    <w:pPr>
      <w:widowControl w:val="0"/>
      <w:spacing w:line="400" w:lineRule="exact"/>
      <w:jc w:val="center"/>
    </w:pPr>
    <w:rPr>
      <w:rFonts w:ascii="宋体" w:hAnsi="宋体" w:eastAsia="宋体" w:cs="宋体"/>
      <w:color w:val="333333"/>
      <w:sz w:val="21"/>
      <w:szCs w:val="18"/>
      <w:lang w:eastAsia="zh-CN"/>
    </w:rPr>
  </w:style>
  <w:style w:type="character" w:customStyle="1" w:styleId="27">
    <w:name w:val="样式1 Char"/>
    <w:link w:val="26"/>
    <w:qFormat/>
    <w:uiPriority w:val="0"/>
    <w:rPr>
      <w:rFonts w:ascii="宋体" w:hAnsi="宋体" w:eastAsia="宋体" w:cs="宋体"/>
      <w:color w:val="333333"/>
      <w:sz w:val="21"/>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microsoft.com/office/2011/relationships/people" Target="people.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theme" Target="theme/theme1.xml"/><Relationship Id="rId42" Type="http://schemas.openxmlformats.org/officeDocument/2006/relationships/footer" Target="footer14.xml"/><Relationship Id="rId41" Type="http://schemas.openxmlformats.org/officeDocument/2006/relationships/footer" Target="footer13.xml"/><Relationship Id="rId40" Type="http://schemas.openxmlformats.org/officeDocument/2006/relationships/header" Target="header24.xml"/><Relationship Id="rId4" Type="http://schemas.microsoft.com/office/2011/relationships/commentsExtended" Target="commentsExtended.xml"/><Relationship Id="rId39" Type="http://schemas.openxmlformats.org/officeDocument/2006/relationships/header" Target="header23.xml"/><Relationship Id="rId38" Type="http://schemas.openxmlformats.org/officeDocument/2006/relationships/footer" Target="footer12.xml"/><Relationship Id="rId37" Type="http://schemas.openxmlformats.org/officeDocument/2006/relationships/footer" Target="footer11.xml"/><Relationship Id="rId36" Type="http://schemas.openxmlformats.org/officeDocument/2006/relationships/header" Target="header22.xml"/><Relationship Id="rId35" Type="http://schemas.openxmlformats.org/officeDocument/2006/relationships/header" Target="header21.xml"/><Relationship Id="rId34" Type="http://schemas.openxmlformats.org/officeDocument/2006/relationships/footer" Target="footer10.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footer" Target="footer8.xml"/><Relationship Id="rId3" Type="http://schemas.openxmlformats.org/officeDocument/2006/relationships/comments" Target="comments.xml"/><Relationship Id="rId29" Type="http://schemas.openxmlformats.org/officeDocument/2006/relationships/footer" Target="footer7.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footer" Target="footer5.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52</Pages>
  <Words>2160</Words>
  <Characters>3491</Characters>
  <Lines>0</Lines>
  <Paragraphs>0</Paragraphs>
  <TotalTime>0</TotalTime>
  <ScaleCrop>false</ScaleCrop>
  <LinksUpToDate>false</LinksUpToDate>
  <CharactersWithSpaces>4050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2023-09-18T13:52:00Z</dcterms:created>
  <dc:creator>Apache POI</dc:creator>
  <cp:lastModifiedBy>王辉</cp:lastModifiedBy>
  <dcterms:modified xsi:type="dcterms:W3CDTF">2025-04-18T09:33:20Z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8DBBF68ACAAD466DBC68943449401D0C_13</vt:lpwstr>
  </property>
  <property fmtid="{D5CDD505-2E9C-101B-9397-08002B2CF9AE}" pid="3" name="KSOProductBuildVer">
    <vt:lpwstr>2052-12.1.0.20784</vt:lpwstr>
  </property>
  <property fmtid="{D5CDD505-2E9C-101B-9397-08002B2CF9AE}" pid="4" name="KSOTemplateDocerSaveRecord">
    <vt:lpwstr>eyJoZGlkIjoiMDZhYjEzYmNjOTQ3YTY2N2NiNjU3NDg3ZmNlNjYyNzIiLCJ1c2VySWQiOiI2NjAzODA2NzYifQ==</vt:lpwstr>
  </property>
</Properties>
</file>