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181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75"/>
        <w:gridCol w:w="3147"/>
        <w:gridCol w:w="720"/>
        <w:gridCol w:w="3556"/>
      </w:tblGrid>
      <w:tr w14:paraId="3660C6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583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BEF8F5">
            <w:pPr>
              <w:spacing w:line="360" w:lineRule="auto"/>
              <w:jc w:val="center"/>
              <w:rPr>
                <w:rFonts w:ascii="宋体" w:hAnsi="宋体"/>
              </w:rPr>
            </w:pPr>
            <w:bookmarkStart w:id="0" w:name="_GoBack"/>
            <w:bookmarkEnd w:id="0"/>
            <w:r>
              <w:rPr>
                <w:rFonts w:hint="eastAsia" w:ascii="宋体" w:hAnsi="宋体"/>
              </w:rPr>
              <w:t>设计（论文）题目</w:t>
            </w: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61A0C0">
            <w:pPr>
              <w:spacing w:line="360" w:lineRule="auto"/>
              <w:ind w:left="3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（中文）</w:t>
            </w:r>
            <w:r>
              <w:rPr>
                <w:rFonts w:hint="eastAsia"/>
                <w:lang w:val="en-US" w:eastAsia="zh-CN"/>
              </w:rPr>
              <w:t>长期投资的选股策略研究</w:t>
            </w:r>
          </w:p>
        </w:tc>
      </w:tr>
      <w:tr w14:paraId="182333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99CEA47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3D471EB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（英文）Research on Stock Selection Strategies for Long term Investment</w:t>
            </w:r>
          </w:p>
        </w:tc>
      </w:tr>
      <w:tr w14:paraId="4870BB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96FAB1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题目类型</w:t>
            </w: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C02F4A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工程实践类□   研究设计类</w:t>
            </w:r>
            <w:r>
              <w:rPr>
                <w:rFonts w:hint="eastAsia" w:ascii="宋体" w:hAnsi="宋体"/>
                <w:lang w:eastAsia="zh-CN"/>
              </w:rPr>
              <w:t>☑</w:t>
            </w:r>
            <w:r>
              <w:rPr>
                <w:rFonts w:hint="eastAsia" w:ascii="宋体" w:hAnsi="宋体"/>
              </w:rPr>
              <w:t xml:space="preserve">   理论分析类</w:t>
            </w:r>
            <w:r>
              <w:rPr>
                <w:rFonts w:hint="eastAsia" w:ascii="宋体" w:hAnsi="宋体"/>
                <w:lang w:eastAsia="zh-CN"/>
              </w:rPr>
              <w:t>□</w:t>
            </w:r>
            <w:r>
              <w:rPr>
                <w:rFonts w:hint="eastAsia" w:ascii="宋体" w:hAnsi="宋体"/>
              </w:rPr>
              <w:t xml:space="preserve">   文献综述类□   其他□</w:t>
            </w:r>
          </w:p>
        </w:tc>
      </w:tr>
      <w:tr w14:paraId="688D06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583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D3421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题目来源</w:t>
            </w: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6E9BC2CC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题目是否来源于科研项目 </w:t>
            </w:r>
            <w:r>
              <w:t xml:space="preserve">      </w:t>
            </w:r>
            <w:r>
              <w:rPr>
                <w:rFonts w:hint="eastAsia" w:ascii="宋体" w:hAnsi="宋体"/>
              </w:rPr>
              <w:t>是□      否</w:t>
            </w:r>
            <w:r>
              <w:rPr>
                <w:rFonts w:hint="eastAsia" w:ascii="宋体" w:hAnsi="宋体"/>
                <w:lang w:eastAsia="zh-CN"/>
              </w:rPr>
              <w:t>☑</w:t>
            </w:r>
          </w:p>
        </w:tc>
      </w:tr>
      <w:tr w14:paraId="72B434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5497462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6E028BA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科研项目</w:t>
            </w:r>
            <w:r>
              <w:rPr>
                <w:rFonts w:ascii="宋体" w:hAnsi="宋体"/>
              </w:rPr>
              <w:t>名称：</w:t>
            </w:r>
          </w:p>
        </w:tc>
      </w:tr>
      <w:tr w14:paraId="43DA3D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3D9AFC">
            <w:pPr>
              <w:widowControl/>
              <w:jc w:val="left"/>
              <w:rPr>
                <w:rFonts w:ascii="宋体" w:hAnsi="宋体"/>
              </w:rPr>
            </w:pPr>
          </w:p>
        </w:tc>
        <w:tc>
          <w:tcPr>
            <w:tcW w:w="759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46F7B4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科研项目负责人</w:t>
            </w:r>
            <w:r>
              <w:rPr>
                <w:rFonts w:ascii="宋体" w:hAnsi="宋体"/>
              </w:rPr>
              <w:t>：</w:t>
            </w:r>
          </w:p>
        </w:tc>
      </w:tr>
      <w:tr w14:paraId="73156A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</w:trPr>
        <w:tc>
          <w:tcPr>
            <w:tcW w:w="918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266E5DE9">
            <w:p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要内容：随着资本市场的发展，长期投资逐渐成为广大投资者的主要投资策略之一。长期投资能够有效规避短期市场波动对投资组合的影响，稳健实现资本增值。因此，选股策略的研究对个人投资者、机构投资者及相关政策的制定均具有重要意义。本课题旨在探讨适合长期投资的选股策略，分析其基本原理及应用方法，为投资者提供科学合理的选股依据。</w:t>
            </w:r>
          </w:p>
        </w:tc>
      </w:tr>
      <w:tr w14:paraId="31A638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2" w:hRule="atLeast"/>
        </w:trPr>
        <w:tc>
          <w:tcPr>
            <w:tcW w:w="918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797BCA2">
            <w:p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主要（技术）要求：</w:t>
            </w:r>
          </w:p>
          <w:p w14:paraId="130EA693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文献调研与资料查找，掌握一些强化学习的常用算法，例如策略迭代法、值迭代法等。</w:t>
            </w:r>
          </w:p>
          <w:p w14:paraId="65627A49">
            <w:pPr>
              <w:widowControl/>
              <w:numPr>
                <w:ilvl w:val="0"/>
                <w:numId w:val="1"/>
              </w:numPr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数据收集与处理：使用Python中的爬虫工具从公开数据源（如Wind、同花顺等）爬取上市公司财务指标（如市盈率、ROE、净利润等）和高管薪酬数据。</w:t>
            </w:r>
          </w:p>
          <w:p w14:paraId="519F3A74">
            <w:pPr>
              <w:widowControl/>
              <w:numPr>
                <w:ilvl w:val="0"/>
                <w:numId w:val="1"/>
              </w:numPr>
              <w:jc w:val="left"/>
            </w:pPr>
            <w:r>
              <w:rPr>
                <w:rFonts w:hint="eastAsia" w:ascii="宋体" w:hAnsi="宋体"/>
                <w:lang w:val="en-US" w:eastAsia="zh-CN"/>
              </w:rPr>
              <w:t>数据清洗与数据处理：对爬取的数据进行清洗，去除无效信息、填补缺失值，确保数据的准确性和完整性。对财务数据和高管薪酬数据进行标准化和归一化处理，以适应机器学习和深度学习模型的输入要求。</w:t>
            </w:r>
          </w:p>
          <w:p w14:paraId="5054303D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相关性分析：</w:t>
            </w:r>
            <w:r>
              <w:t>比较同一行业或板块内不同公司之间的财务数据、营收增长、利润率等指标与股票市值的变化关系。使用相关性分析、协整检验或面板数据分析等方法，评估同类公司之间的财务表现如何影响其市值波动。</w:t>
            </w:r>
          </w:p>
          <w:p w14:paraId="43298F72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机器学习模型</w:t>
            </w:r>
            <w:r>
              <w:rPr>
                <w:rFonts w:hint="eastAsia" w:ascii="宋体" w:hAnsi="宋体"/>
                <w:lang w:val="en-US" w:eastAsia="zh-CN"/>
              </w:rPr>
              <w:t>选择与评估：</w:t>
            </w:r>
            <w:r>
              <w:rPr>
                <w:rFonts w:hint="eastAsia" w:ascii="宋体" w:hAnsi="宋体"/>
              </w:rPr>
              <w:t>采用线性回归、决策树、随机森林等机器学习算法，构建选股模型并进行评估。</w:t>
            </w:r>
          </w:p>
          <w:p w14:paraId="7D0B1F4E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编程语言</w:t>
            </w:r>
            <w:r>
              <w:rPr>
                <w:rFonts w:hint="eastAsia" w:ascii="宋体" w:hAnsi="宋体"/>
                <w:lang w:val="en-US" w:eastAsia="zh-CN"/>
              </w:rPr>
              <w:t>，使用Python作为主要编程语言，利用其丰富的机器学习与数据分析库（如Pandas、TensorFlow等）进行数据处理、模型训练与评估。</w:t>
            </w:r>
          </w:p>
          <w:p w14:paraId="67B92AEB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熟悉实验设计和模型评估的方法，包括交叉验证、性能指标。</w:t>
            </w:r>
          </w:p>
          <w:p w14:paraId="309E2341">
            <w:pPr>
              <w:widowControl/>
              <w:numPr>
                <w:ilvl w:val="0"/>
                <w:numId w:val="1"/>
              </w:numPr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总结与分析：进行结果分析与模型解释，风险评估，以及策略优化与改进和论文撰写。</w:t>
            </w:r>
          </w:p>
        </w:tc>
      </w:tr>
      <w:tr w14:paraId="4AA483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918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50C1E7F9">
            <w:p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主要参考文献：</w:t>
            </w:r>
          </w:p>
          <w:p w14:paraId="39ED28B4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Hou K, Xue C, Zhang L. Replicating anomalies[J]. The Review of Financial Studies, 2020, 33(5):2019-2133.</w:t>
            </w:r>
          </w:p>
          <w:p w14:paraId="4277AE3C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Ma Y, Han R, Wang W. Portfolio optimization with return prediction using deep learning </w:t>
            </w:r>
            <w:r>
              <w:rPr>
                <w:rFonts w:hint="eastAsia" w:ascii="宋体" w:hAnsi="宋体"/>
                <w:lang w:eastAsia="zh-CN"/>
              </w:rPr>
              <w:t>and machine</w:t>
            </w:r>
            <w:r>
              <w:rPr>
                <w:rFonts w:hint="eastAsia" w:ascii="宋体" w:hAnsi="宋体"/>
              </w:rPr>
              <w:t xml:space="preserve"> learning[J]. Expert Systems with Applications, 2021, 165: 113973.</w:t>
            </w:r>
          </w:p>
          <w:p w14:paraId="09E72A94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Singh R, Srivastava S. Stock prediction using deep learning[J]. Multimedia Tools and Applications,2017, 76(18): 18569-18584</w:t>
            </w:r>
          </w:p>
          <w:p w14:paraId="79A56EFE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Yu J R, Chiou W J P, Lee W Y. Portfolio models with return forecasting and </w:t>
            </w:r>
            <w:r>
              <w:rPr>
                <w:rFonts w:hint="eastAsia" w:ascii="宋体" w:hAnsi="宋体"/>
                <w:lang w:eastAsia="zh-CN"/>
              </w:rPr>
              <w:t>transaction costs</w:t>
            </w:r>
            <w:r>
              <w:rPr>
                <w:rFonts w:hint="eastAsia" w:ascii="宋体" w:hAnsi="宋体"/>
              </w:rPr>
              <w:t>[J]. International Review of Economics &amp; Finance, 2020, 66: 118-130.</w:t>
            </w:r>
          </w:p>
          <w:p w14:paraId="5AC3783D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杨淼杰,王彩凤,武辰华.基于随机森林算法的多因子选股模型研究（英文）[J].纯粹数学与应用数学,2023,39(04):506-519.</w:t>
            </w:r>
          </w:p>
          <w:p w14:paraId="1C6F69DD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张儒森,黄外斌.基于集成学习算法的指数增强策略研究[J].金融客,2024,(03):27-29.</w:t>
            </w:r>
          </w:p>
          <w:p w14:paraId="4ADD2BC2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周嘉灏,张明福,冷鸿杰.基于机器学习多因子量化模型的选股策略研究[J].科学技术创新,2022,(05):161-164.</w:t>
            </w:r>
          </w:p>
          <w:p w14:paraId="2060E132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牛晓健,吴宇轩.基于深度卷积神经网络的股票交易模型研究[J].贵州商学院学报,2024,37(04):24-36.</w:t>
            </w:r>
          </w:p>
          <w:p w14:paraId="5B758D78">
            <w:pPr>
              <w:numPr>
                <w:ilvl w:val="0"/>
                <w:numId w:val="2"/>
              </w:num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刘晨旸.基于K-means聚类和相对估值法的选股研究[J].长春金融高等专科学校学报,2021,(01):34-42.</w:t>
            </w:r>
          </w:p>
        </w:tc>
      </w:tr>
      <w:tr w14:paraId="06D433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</w:trPr>
        <w:tc>
          <w:tcPr>
            <w:tcW w:w="918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14:paraId="244B2A9A">
            <w:pPr>
              <w:spacing w:line="360" w:lineRule="atLeas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进度安排：</w:t>
            </w:r>
          </w:p>
          <w:p w14:paraId="79864E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秋季学期第7-11周：</w:t>
            </w:r>
            <w:r>
              <w:t>阅读</w:t>
            </w:r>
            <w:r>
              <w:rPr>
                <w:rFonts w:hint="eastAsia"/>
                <w:lang w:val="en-US" w:eastAsia="zh-CN"/>
              </w:rPr>
              <w:t>投资选股</w:t>
            </w:r>
            <w:r>
              <w:t>相关文献</w:t>
            </w:r>
            <w:r>
              <w:rPr>
                <w:rFonts w:hint="eastAsia" w:ascii="宋体" w:hAnsi="宋体"/>
              </w:rPr>
              <w:t>，了解长期投资理论和现有选股策略，</w:t>
            </w:r>
            <w:r>
              <w:t>完成课题任务书</w:t>
            </w:r>
            <w:r>
              <w:rPr>
                <w:rFonts w:hint="eastAsia"/>
                <w:lang w:eastAsia="zh-CN"/>
              </w:rPr>
              <w:t>。</w:t>
            </w:r>
          </w:p>
          <w:p w14:paraId="296B8F3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秋季学期第12-14周：进行资料调研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</w:rPr>
              <w:t>确定研究方法，收集数据来源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  <w:lang w:val="en-US" w:eastAsia="zh-CN"/>
              </w:rPr>
              <w:t>完成开题报告的撰写。</w:t>
            </w:r>
          </w:p>
          <w:p w14:paraId="1D4E67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秋季学期第15-20周：确定研究方法和工具，构建论文的主</w:t>
            </w:r>
            <w:r>
              <w:rPr>
                <w:rFonts w:hint="eastAsia" w:ascii="宋体" w:hAnsi="宋体"/>
                <w:lang w:val="en-US" w:eastAsia="zh-CN"/>
              </w:rPr>
              <w:t>体</w:t>
            </w:r>
            <w:r>
              <w:rPr>
                <w:rFonts w:hint="eastAsia" w:ascii="宋体" w:hAnsi="宋体"/>
              </w:rPr>
              <w:t>框架，完成研究论文的第一部分：文献综述和方法介绍。</w:t>
            </w:r>
          </w:p>
          <w:p w14:paraId="4740EA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春季学期第3-4周：填写《中期进展情况检查表》，上传至系统。根据中期检查反馈调整研究进度和策略，优化选股模型。</w:t>
            </w:r>
          </w:p>
          <w:p w14:paraId="5AF8C98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春季学期第5-8周：继续进行模型训练，调整特征工程。撰写研究论文第二部分：模型构建与分析。</w:t>
            </w:r>
          </w:p>
          <w:p w14:paraId="6C83156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春季学期第9-10周：完成选股策略回测与优化，撰写论文中期报告。</w:t>
            </w:r>
          </w:p>
          <w:p w14:paraId="6D41D69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leftChars="0" w:firstLine="0" w:firstLineChars="0"/>
            </w:pPr>
            <w:r>
              <w:rPr>
                <w:rFonts w:hint="eastAsia" w:ascii="宋体" w:hAnsi="宋体"/>
              </w:rPr>
              <w:t>春季学期第11-12周：完成论文查重检测并进行修改，确保论文原创性。</w:t>
            </w:r>
          </w:p>
          <w:p w14:paraId="0EC980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leftChars="0" w:firstLine="0" w:firstLineChars="0"/>
            </w:pPr>
            <w:r>
              <w:rPr>
                <w:rFonts w:hint="eastAsia" w:ascii="宋体" w:hAnsi="宋体"/>
              </w:rPr>
              <w:t>春季学期第13-15周：</w:t>
            </w:r>
            <w:r>
              <w:t>完成论文终稿，进行最终的修改与完善。准备毕业设计答辩，进行答辩前的演练。学院组织答辩并提交最终版论文。</w:t>
            </w:r>
          </w:p>
          <w:p w14:paraId="22AE31EB">
            <w:pPr>
              <w:spacing w:line="360" w:lineRule="atLeast"/>
              <w:rPr>
                <w:rFonts w:hint="eastAsia" w:ascii="宋体" w:hAnsi="宋体"/>
              </w:rPr>
            </w:pPr>
          </w:p>
          <w:p w14:paraId="1E9A2D22">
            <w:pPr>
              <w:spacing w:line="360" w:lineRule="atLeast"/>
              <w:rPr>
                <w:rFonts w:hint="eastAsia" w:ascii="宋体" w:hAnsi="宋体"/>
              </w:rPr>
            </w:pPr>
          </w:p>
          <w:p w14:paraId="1BC244C0">
            <w:pPr>
              <w:spacing w:line="360" w:lineRule="atLeast"/>
              <w:rPr>
                <w:rFonts w:hint="eastAsia" w:ascii="宋体" w:hAnsi="宋体"/>
              </w:rPr>
            </w:pPr>
          </w:p>
        </w:tc>
      </w:tr>
      <w:tr w14:paraId="0260A2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758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15CC30C1">
            <w:pPr>
              <w:spacing w:line="360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指导教师签字</w:t>
            </w:r>
          </w:p>
        </w:tc>
        <w:tc>
          <w:tcPr>
            <w:tcW w:w="314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5770A1E">
            <w:pPr>
              <w:spacing w:line="360" w:lineRule="atLeast"/>
              <w:jc w:val="center"/>
              <w:rPr>
                <w:rFonts w:hint="eastAsia" w:ascii="宋体" w:hAnsi="宋体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2CC0EF8">
            <w:pPr>
              <w:spacing w:line="360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日期</w:t>
            </w:r>
          </w:p>
        </w:tc>
        <w:tc>
          <w:tcPr>
            <w:tcW w:w="3556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671369">
            <w:pPr>
              <w:spacing w:line="360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2024</w:t>
            </w:r>
            <w:r>
              <w:rPr>
                <w:rFonts w:hint="eastAsia" w:ascii="宋体" w:hAnsi="宋体"/>
              </w:rPr>
              <w:t xml:space="preserve">年 </w:t>
            </w:r>
            <w:r>
              <w:rPr>
                <w:rFonts w:hint="eastAsia" w:ascii="宋体" w:hAnsi="宋体"/>
                <w:lang w:val="en-US" w:eastAsia="zh-CN"/>
              </w:rPr>
              <w:t>11</w:t>
            </w:r>
            <w:r>
              <w:t xml:space="preserve">  </w:t>
            </w:r>
            <w:r>
              <w:rPr>
                <w:rFonts w:hint="eastAsia" w:ascii="宋体" w:hAnsi="宋体"/>
              </w:rPr>
              <w:t>月</w:t>
            </w:r>
            <w:r>
              <w:rPr>
                <w:rFonts w:hint="eastAsia" w:ascii="宋体" w:hAnsi="宋体"/>
                <w:lang w:val="en-US" w:eastAsia="zh-CN"/>
              </w:rPr>
              <w:t>15</w:t>
            </w:r>
            <w:r>
              <w:rPr>
                <w:rFonts w:hint="eastAsia" w:ascii="宋体" w:hAnsi="宋体"/>
              </w:rPr>
              <w:t xml:space="preserve"> </w:t>
            </w:r>
            <w:r>
              <w:t xml:space="preserve">  </w:t>
            </w:r>
            <w:r>
              <w:rPr>
                <w:rFonts w:hint="eastAsia" w:ascii="宋体" w:hAnsi="宋体"/>
              </w:rPr>
              <w:t>日</w:t>
            </w:r>
          </w:p>
        </w:tc>
      </w:tr>
    </w:tbl>
    <w:p w14:paraId="2FF5CE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737A7"/>
    <w:multiLevelType w:val="singleLevel"/>
    <w:tmpl w:val="156737A7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6658C941"/>
    <w:multiLevelType w:val="singleLevel"/>
    <w:tmpl w:val="6658C94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B4AE5B2"/>
    <w:multiLevelType w:val="singleLevel"/>
    <w:tmpl w:val="7B4AE5B2"/>
    <w:lvl w:ilvl="0" w:tentative="0">
      <w:start w:val="1"/>
      <w:numFmt w:val="decimal"/>
      <w:suff w:val="space"/>
      <w:lvlText w:val="%1."/>
      <w:lvlJc w:val="left"/>
      <w:rPr>
        <w:rFonts w:hint="default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wY2Q0MTNhY2E5MTliNjdjMDY4MWY0NTViZDQxYmUifQ=="/>
  </w:docVars>
  <w:rsids>
    <w:rsidRoot w:val="00764093"/>
    <w:rsid w:val="00233945"/>
    <w:rsid w:val="0026180A"/>
    <w:rsid w:val="00764093"/>
    <w:rsid w:val="008234FC"/>
    <w:rsid w:val="00934F6F"/>
    <w:rsid w:val="00DF56B3"/>
    <w:rsid w:val="00FA2B2F"/>
    <w:rsid w:val="00FD2AB9"/>
    <w:rsid w:val="07A113DB"/>
    <w:rsid w:val="0D130A35"/>
    <w:rsid w:val="17DA4651"/>
    <w:rsid w:val="24E320AB"/>
    <w:rsid w:val="47284B3F"/>
    <w:rsid w:val="60A913B3"/>
    <w:rsid w:val="691C4781"/>
    <w:rsid w:val="756D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1436</Words>
  <Characters>2062</Characters>
  <Lines>1</Lines>
  <Paragraphs>1</Paragraphs>
  <TotalTime>183</TotalTime>
  <ScaleCrop>false</ScaleCrop>
  <LinksUpToDate>false</LinksUpToDate>
  <CharactersWithSpaces>2178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2024-10-16T10:07:00Z</dcterms:created>
  <dc:creator>DELL</dc:creator>
  <cp:lastModifiedBy>light09</cp:lastModifiedBy>
  <dcterms:modified xsi:type="dcterms:W3CDTF">2025-04-18T03:36:39Z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09790B2B50E24F4DA12EE9315E2A577E_13</vt:lpwstr>
  </property>
  <property fmtid="{D5CDD505-2E9C-101B-9397-08002B2CF9AE}" pid="4" name="KSOTemplateDocerSaveRecord">
    <vt:lpwstr>eyJoZGlkIjoiYjYwY2Q0MTNhY2E5MTliNjdjMDY4MWY0NTViZDQxYmUiLCJ1c2VySWQiOiIxMDc5NDA3Mzc3In0=</vt:lpwstr>
  </property>
</Properties>
</file>