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F1601">
      <w:pPr>
        <w:spacing w:line="374" w:lineRule="exact"/>
        <w:ind w:right="364" w:firstLine="0" w:firstLineChars="0"/>
      </w:pPr>
      <w:r>
        <w:rPr>
          <w:rFonts w:hint="eastAsia"/>
        </w:rPr>
        <w:t>附录A：学士学位论文模板</w:t>
      </w:r>
    </w:p>
    <w:p w14:paraId="2D63E558">
      <w:pPr>
        <w:spacing w:line="240" w:lineRule="auto"/>
        <w:ind w:firstLine="0" w:firstLineChars="0"/>
      </w:pPr>
    </w:p>
    <w:p w14:paraId="58A60C80">
      <w:pPr>
        <w:spacing w:line="240" w:lineRule="auto"/>
        <w:ind w:firstLine="0" w:firstLineChars="0"/>
      </w:pPr>
    </w:p>
    <w:p w14:paraId="0A34F55F">
      <w:pPr>
        <w:spacing w:line="240" w:lineRule="auto"/>
        <w:ind w:firstLine="0" w:firstLineChars="0"/>
      </w:pPr>
    </w:p>
    <w:p w14:paraId="4FFF6867">
      <w:pPr>
        <w:spacing w:line="240" w:lineRule="auto"/>
        <w:ind w:firstLine="0" w:firstLineChars="0"/>
      </w:pPr>
    </w:p>
    <w:p w14:paraId="7F0DE7D0">
      <w:pPr>
        <w:spacing w:line="240" w:lineRule="auto"/>
        <w:ind w:firstLine="0" w:firstLineChars="0"/>
        <w:jc w:val="center"/>
        <w:rPr>
          <w:rFonts w:ascii="宋体" w:hAnsi="Calibri" w:eastAsia="宋体" w:cs="Times New Roman"/>
        </w:rPr>
      </w:pPr>
      <w:r>
        <w:rPr>
          <w:rFonts w:ascii="宋体" w:hAnsi="Calibri" w:eastAsia="宋体" w:cs="Times New Roman"/>
        </w:rPr>
        <w:drawing>
          <wp:inline distT="0" distB="0" distL="0" distR="0">
            <wp:extent cx="3466465" cy="1009650"/>
            <wp:effectExtent l="0" t="0" r="8255" b="11430"/>
            <wp:docPr id="1679700620" name="图片 4" descr="C:\Users\msgina.Msgina-PC\Desktop\48e10992tde9f1b7c0360&amp;690.jpg48e10992tde9f1b7c0360&amp;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00620" name="图片 4" descr="C:\Users\msgina.Msgina-PC\Desktop\48e10992tde9f1b7c0360&amp;690.jpg48e10992tde9f1b7c0360&amp;6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66465" cy="1009650"/>
                    </a:xfrm>
                    <a:prstGeom prst="rect">
                      <a:avLst/>
                    </a:prstGeom>
                    <a:noFill/>
                    <a:ln>
                      <a:noFill/>
                    </a:ln>
                  </pic:spPr>
                </pic:pic>
              </a:graphicData>
            </a:graphic>
          </wp:inline>
        </w:drawing>
      </w:r>
    </w:p>
    <w:p w14:paraId="02FA6E0B">
      <w:pPr>
        <w:spacing w:line="240" w:lineRule="auto"/>
        <w:ind w:firstLine="0" w:firstLineChars="0"/>
        <w:jc w:val="center"/>
        <w:rPr>
          <w:rFonts w:ascii="宋体" w:hAnsi="Calibri" w:eastAsia="宋体" w:cs="Times New Roman"/>
        </w:rPr>
      </w:pPr>
    </w:p>
    <w:p w14:paraId="761F4418">
      <w:pPr>
        <w:widowControl w:val="0"/>
        <w:spacing w:line="240" w:lineRule="auto"/>
        <w:ind w:firstLine="0" w:firstLineChars="0"/>
        <w:jc w:val="center"/>
        <w:rPr>
          <w:rFonts w:eastAsia="宋体"/>
          <w:kern w:val="2"/>
          <w:sz w:val="21"/>
          <w:szCs w:val="20"/>
        </w:rPr>
      </w:pPr>
    </w:p>
    <w:p w14:paraId="2AF4FCBB">
      <w:pPr>
        <w:widowControl w:val="0"/>
        <w:spacing w:after="240" w:afterLines="100" w:line="240" w:lineRule="auto"/>
        <w:ind w:firstLine="0" w:firstLineChars="0"/>
        <w:jc w:val="center"/>
        <w:rPr>
          <w:rFonts w:ascii="黑体" w:hAnsi="黑体" w:eastAsia="黑体"/>
          <w:kern w:val="2"/>
          <w:sz w:val="72"/>
          <w:szCs w:val="20"/>
        </w:rPr>
      </w:pPr>
      <w:r>
        <w:rPr>
          <w:rFonts w:hint="eastAsia" w:ascii="黑体" w:hAnsi="黑体" w:eastAsia="黑体"/>
          <w:kern w:val="2"/>
          <w:sz w:val="72"/>
          <w:szCs w:val="20"/>
        </w:rPr>
        <w:t>学士学位论文</w:t>
      </w:r>
    </w:p>
    <w:p w14:paraId="2B3103E7">
      <w:pPr>
        <w:widowControl w:val="0"/>
        <w:spacing w:line="240" w:lineRule="auto"/>
        <w:ind w:firstLine="0" w:firstLineChars="0"/>
        <w:rPr>
          <w:rFonts w:eastAsia="华文新魏"/>
          <w:kern w:val="2"/>
          <w:sz w:val="72"/>
          <w:szCs w:val="20"/>
        </w:rPr>
      </w:pPr>
    </w:p>
    <w:p w14:paraId="27A18B98">
      <w:pPr>
        <w:widowControl w:val="0"/>
        <w:spacing w:line="240" w:lineRule="auto"/>
        <w:ind w:firstLine="522" w:firstLineChars="100"/>
        <w:jc w:val="left"/>
        <w:rPr>
          <w:rFonts w:ascii="黑体" w:hAnsi="黑体" w:eastAsia="黑体"/>
          <w:b/>
          <w:bCs/>
          <w:kern w:val="2"/>
          <w:sz w:val="52"/>
          <w:szCs w:val="52"/>
        </w:rPr>
      </w:pPr>
      <w:r>
        <w:rPr>
          <w:rFonts w:hint="eastAsia" w:ascii="黑体" w:hAnsi="黑体" w:eastAsia="黑体"/>
          <w:b/>
          <w:bCs/>
          <w:kern w:val="2"/>
          <w:sz w:val="52"/>
          <w:szCs w:val="52"/>
          <w:u w:val="single"/>
        </w:rPr>
        <w:t xml:space="preserve">                              </w:t>
      </w:r>
    </w:p>
    <w:p w14:paraId="5ED15D1E">
      <w:pPr>
        <w:widowControl w:val="0"/>
        <w:spacing w:line="240" w:lineRule="auto"/>
        <w:ind w:firstLine="0" w:firstLineChars="0"/>
        <w:rPr>
          <w:rFonts w:eastAsia="华文新魏"/>
          <w:kern w:val="2"/>
          <w:sz w:val="36"/>
          <w:szCs w:val="20"/>
        </w:rPr>
      </w:pPr>
    </w:p>
    <w:p w14:paraId="29311761">
      <w:pPr>
        <w:widowControl w:val="0"/>
        <w:spacing w:line="360" w:lineRule="auto"/>
        <w:ind w:firstLine="0" w:firstLineChars="0"/>
        <w:jc w:val="left"/>
        <w:rPr>
          <w:rFonts w:ascii="仿宋" w:hAnsi="仿宋" w:eastAsia="仿宋"/>
          <w:color w:val="000000"/>
          <w:kern w:val="2"/>
          <w:sz w:val="32"/>
          <w:szCs w:val="32"/>
        </w:rPr>
      </w:pPr>
    </w:p>
    <w:p w14:paraId="76E83D7A">
      <w:pPr>
        <w:widowControl w:val="0"/>
        <w:spacing w:line="360" w:lineRule="auto"/>
        <w:ind w:firstLine="2752" w:firstLineChars="860"/>
        <w:rPr>
          <w:rFonts w:ascii="仿宋" w:hAnsi="仿宋" w:eastAsia="仿宋"/>
          <w:kern w:val="2"/>
          <w:sz w:val="32"/>
          <w:szCs w:val="32"/>
        </w:rPr>
      </w:pPr>
      <w:r>
        <w:rPr>
          <w:rFonts w:hint="eastAsia" w:ascii="仿宋" w:hAnsi="仿宋" w:eastAsia="仿宋"/>
          <w:color w:val="000000"/>
          <w:kern w:val="2"/>
          <w:sz w:val="32"/>
          <w:szCs w:val="32"/>
        </w:rPr>
        <w:t>姓    名</w:t>
      </w:r>
      <w:r>
        <w:rPr>
          <w:rFonts w:hint="eastAsia" w:ascii="仿宋" w:hAnsi="仿宋" w:eastAsia="仿宋"/>
          <w:kern w:val="2"/>
          <w:sz w:val="32"/>
          <w:szCs w:val="32"/>
        </w:rPr>
        <w:t xml:space="preserve"> </w:t>
      </w:r>
      <w:r>
        <w:rPr>
          <w:rFonts w:hint="eastAsia" w:ascii="仿宋" w:hAnsi="仿宋" w:eastAsia="仿宋"/>
          <w:kern w:val="2"/>
          <w:sz w:val="32"/>
          <w:szCs w:val="32"/>
          <w:u w:val="single"/>
        </w:rPr>
        <w:t xml:space="preserve">             </w:t>
      </w:r>
    </w:p>
    <w:p w14:paraId="52F9C9F1">
      <w:pPr>
        <w:widowControl w:val="0"/>
        <w:spacing w:line="360" w:lineRule="auto"/>
        <w:ind w:firstLine="2752" w:firstLineChars="860"/>
        <w:rPr>
          <w:rFonts w:ascii="仿宋" w:hAnsi="仿宋" w:eastAsia="仿宋"/>
          <w:color w:val="000000"/>
          <w:kern w:val="2"/>
          <w:sz w:val="32"/>
          <w:szCs w:val="32"/>
        </w:rPr>
      </w:pPr>
      <w:r>
        <w:rPr>
          <w:rFonts w:hint="eastAsia" w:ascii="仿宋" w:hAnsi="仿宋" w:eastAsia="仿宋"/>
          <w:kern w:val="2"/>
          <w:sz w:val="32"/>
          <w:szCs w:val="32"/>
        </w:rPr>
        <w:t xml:space="preserve">学    号 </w:t>
      </w:r>
      <w:r>
        <w:rPr>
          <w:rFonts w:hint="eastAsia" w:ascii="仿宋" w:hAnsi="仿宋" w:eastAsia="仿宋"/>
          <w:kern w:val="2"/>
          <w:sz w:val="32"/>
          <w:szCs w:val="32"/>
          <w:u w:val="single"/>
        </w:rPr>
        <w:t xml:space="preserve">             </w:t>
      </w:r>
    </w:p>
    <w:p w14:paraId="04CBFC05">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w:t xml:space="preserve">院    系 </w:t>
      </w:r>
      <w:r>
        <w:rPr>
          <w:rFonts w:hint="eastAsia" w:ascii="仿宋" w:hAnsi="仿宋" w:eastAsia="仿宋"/>
          <w:kern w:val="2"/>
          <w:sz w:val="32"/>
          <w:szCs w:val="32"/>
          <w:u w:val="single"/>
        </w:rPr>
        <w:t xml:space="preserve">             </w:t>
      </w:r>
    </w:p>
    <w:p w14:paraId="27A78410">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w:t xml:space="preserve">专    业 </w:t>
      </w:r>
      <w:r>
        <w:rPr>
          <w:rFonts w:hint="eastAsia" w:ascii="仿宋" w:hAnsi="仿宋" w:eastAsia="仿宋"/>
          <w:kern w:val="2"/>
          <w:sz w:val="32"/>
          <w:szCs w:val="32"/>
          <w:u w:val="single"/>
        </w:rPr>
        <w:t xml:space="preserve">             </w:t>
      </w:r>
    </w:p>
    <w:p w14:paraId="70CF6F10">
      <w:pPr>
        <w:widowControl w:val="0"/>
        <w:spacing w:line="360" w:lineRule="auto"/>
        <w:ind w:firstLine="2752" w:firstLineChars="860"/>
        <w:rPr>
          <w:rFonts w:ascii="仿宋" w:hAnsi="仿宋" w:eastAsia="仿宋"/>
          <w:kern w:val="2"/>
          <w:sz w:val="32"/>
          <w:szCs w:val="32"/>
        </w:rPr>
      </w:pPr>
      <w:r>
        <w:rPr>
          <w:rFonts w:hint="eastAsia" w:ascii="仿宋" w:hAnsi="仿宋" w:eastAsia="仿宋"/>
          <w:kern w:val="2"/>
          <w:sz w:val="32"/>
          <w:szCs w:val="32"/>
        </w:rPr>
        <w:t xml:space="preserve">指导教师 </w:t>
      </w:r>
      <w:r>
        <w:rPr>
          <w:rFonts w:hint="eastAsia" w:ascii="仿宋" w:hAnsi="仿宋" w:eastAsia="仿宋"/>
          <w:kern w:val="2"/>
          <w:sz w:val="32"/>
          <w:szCs w:val="32"/>
          <w:u w:val="single"/>
        </w:rPr>
        <w:t xml:space="preserve">             </w:t>
      </w:r>
    </w:p>
    <w:p w14:paraId="49886E97">
      <w:pPr>
        <w:widowControl w:val="0"/>
        <w:spacing w:line="240" w:lineRule="auto"/>
        <w:ind w:firstLine="2640" w:firstLineChars="600"/>
        <w:rPr>
          <w:rFonts w:eastAsia="华文新魏"/>
          <w:kern w:val="2"/>
          <w:sz w:val="44"/>
          <w:szCs w:val="20"/>
        </w:rPr>
      </w:pPr>
    </w:p>
    <w:p w14:paraId="5673773B">
      <w:pPr>
        <w:widowControl w:val="0"/>
        <w:spacing w:line="240" w:lineRule="auto"/>
        <w:ind w:firstLine="1440" w:firstLineChars="400"/>
        <w:rPr>
          <w:rFonts w:eastAsia="华文新魏"/>
          <w:kern w:val="2"/>
          <w:sz w:val="36"/>
          <w:szCs w:val="20"/>
        </w:rPr>
      </w:pPr>
    </w:p>
    <w:p w14:paraId="3FBCABA9">
      <w:pPr>
        <w:widowControl w:val="0"/>
        <w:spacing w:line="240" w:lineRule="auto"/>
        <w:ind w:firstLine="1440" w:firstLineChars="400"/>
        <w:rPr>
          <w:rFonts w:eastAsia="华文新魏"/>
          <w:kern w:val="2"/>
          <w:sz w:val="36"/>
          <w:szCs w:val="20"/>
        </w:rPr>
      </w:pPr>
    </w:p>
    <w:p w14:paraId="31B7CB56">
      <w:pPr>
        <w:widowControl w:val="0"/>
        <w:spacing w:line="240" w:lineRule="auto"/>
        <w:ind w:firstLine="0" w:firstLineChars="0"/>
        <w:rPr>
          <w:rFonts w:eastAsia="华文新魏"/>
          <w:kern w:val="2"/>
          <w:sz w:val="36"/>
          <w:szCs w:val="20"/>
        </w:rPr>
      </w:pPr>
    </w:p>
    <w:p w14:paraId="5B9D5730">
      <w:pPr>
        <w:widowControl w:val="0"/>
        <w:spacing w:line="240" w:lineRule="auto"/>
        <w:ind w:firstLine="0" w:firstLineChars="0"/>
        <w:jc w:val="center"/>
        <w:rPr>
          <w:rFonts w:asciiTheme="majorEastAsia" w:hAnsiTheme="majorEastAsia" w:eastAsiaTheme="majorEastAsia"/>
          <w:kern w:val="2"/>
          <w:sz w:val="32"/>
          <w:szCs w:val="32"/>
        </w:rPr>
      </w:pPr>
      <w:r>
        <w:rPr>
          <w:rFonts w:hint="eastAsia" w:asciiTheme="majorEastAsia" w:hAnsiTheme="majorEastAsia" w:eastAsiaTheme="majorEastAsia"/>
          <w:kern w:val="2"/>
          <w:sz w:val="32"/>
          <w:szCs w:val="32"/>
        </w:rPr>
        <w:t>年      月      日</w:t>
      </w:r>
    </w:p>
    <w:p w14:paraId="73795807">
      <w:pPr>
        <w:spacing w:line="374" w:lineRule="exact"/>
        <w:ind w:right="364" w:firstLine="720"/>
        <w:rPr>
          <w:rFonts w:eastAsia="华文新魏"/>
          <w:kern w:val="2"/>
          <w:sz w:val="36"/>
          <w:szCs w:val="36"/>
        </w:rPr>
        <w:sectPr>
          <w:headerReference r:id="rId5" w:type="default"/>
          <w:footerReference r:id="rId6" w:type="default"/>
          <w:pgSz w:w="11906" w:h="16838"/>
          <w:pgMar w:top="1418" w:right="1134" w:bottom="1134" w:left="1134" w:header="851" w:footer="992" w:gutter="284"/>
          <w:pgNumType w:fmt="numberInDash" w:start="7" w:chapStyle="1"/>
          <w:cols w:space="425" w:num="1"/>
          <w:docGrid w:linePitch="326" w:charSpace="0"/>
        </w:sectPr>
      </w:pPr>
    </w:p>
    <w:p w14:paraId="149FE43D">
      <w:pPr>
        <w:ind w:firstLine="600"/>
        <w:jc w:val="center"/>
        <w:rPr>
          <w:rFonts w:ascii="黑体" w:hAnsi="黑体" w:eastAsia="黑体"/>
          <w:sz w:val="30"/>
          <w:szCs w:val="30"/>
        </w:rPr>
      </w:pPr>
      <w:r>
        <w:rPr>
          <w:rFonts w:hint="eastAsia" w:ascii="黑体" w:hAnsi="黑体" w:eastAsia="黑体"/>
          <w:sz w:val="30"/>
          <w:szCs w:val="30"/>
        </w:rPr>
        <w:t>学位论文原创性声明</w:t>
      </w:r>
    </w:p>
    <w:p w14:paraId="73030DA6">
      <w:pPr>
        <w:ind w:firstLine="600"/>
        <w:jc w:val="left"/>
        <w:rPr>
          <w:rFonts w:ascii="楷体" w:hAnsi="楷体" w:eastAsia="楷体"/>
          <w:sz w:val="30"/>
          <w:szCs w:val="30"/>
        </w:rPr>
      </w:pPr>
    </w:p>
    <w:p w14:paraId="3BEA77F6">
      <w:pPr>
        <w:ind w:firstLine="600"/>
        <w:jc w:val="left"/>
        <w:rPr>
          <w:rFonts w:ascii="楷体" w:hAnsi="楷体" w:eastAsia="楷体"/>
          <w:sz w:val="30"/>
          <w:szCs w:val="30"/>
        </w:rPr>
      </w:pPr>
    </w:p>
    <w:p w14:paraId="7DCEA873">
      <w:pPr>
        <w:spacing w:line="360" w:lineRule="auto"/>
        <w:ind w:firstLine="480"/>
        <w:jc w:val="left"/>
        <w:rPr>
          <w:rFonts w:asciiTheme="minorEastAsia" w:hAnsiTheme="minorEastAsia"/>
        </w:rPr>
      </w:pPr>
      <w:r>
        <w:rPr>
          <w:rFonts w:hint="eastAsia" w:asciiTheme="minorEastAsia" w:hAnsiTheme="minorEastAsia"/>
        </w:rPr>
        <w:t>本人所提交的学位论文                     ，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0E6E9E10">
      <w:pPr>
        <w:spacing w:line="360" w:lineRule="auto"/>
        <w:ind w:firstLine="480"/>
        <w:jc w:val="left"/>
        <w:rPr>
          <w:rFonts w:asciiTheme="minorEastAsia" w:hAnsiTheme="minorEastAsia"/>
        </w:rPr>
      </w:pPr>
      <w:r>
        <w:rPr>
          <w:rFonts w:hint="eastAsia" w:asciiTheme="minorEastAsia" w:hAnsiTheme="minorEastAsia"/>
        </w:rPr>
        <w:t>本声明的法律后果由本人承担。</w:t>
      </w:r>
    </w:p>
    <w:p w14:paraId="2B7270AE">
      <w:pPr>
        <w:spacing w:line="360" w:lineRule="auto"/>
        <w:ind w:firstLine="480"/>
        <w:jc w:val="left"/>
        <w:rPr>
          <w:rFonts w:asciiTheme="minorEastAsia" w:hAnsiTheme="minorEastAsia"/>
        </w:rPr>
      </w:pPr>
    </w:p>
    <w:p w14:paraId="30CA340C">
      <w:pPr>
        <w:spacing w:line="360" w:lineRule="auto"/>
        <w:ind w:firstLine="480"/>
        <w:jc w:val="left"/>
        <w:rPr>
          <w:rFonts w:asciiTheme="minorEastAsia" w:hAnsiTheme="minorEastAsia"/>
        </w:rPr>
      </w:pPr>
    </w:p>
    <w:p w14:paraId="7EDC9C7A">
      <w:pPr>
        <w:spacing w:line="360" w:lineRule="auto"/>
        <w:ind w:firstLine="1200" w:firstLineChars="500"/>
        <w:jc w:val="left"/>
        <w:rPr>
          <w:rFonts w:asciiTheme="minorEastAsia" w:hAnsiTheme="minorEastAsia"/>
        </w:rPr>
      </w:pPr>
      <w:r>
        <w:rPr>
          <w:rFonts w:hint="eastAsia" w:asciiTheme="minorEastAsia" w:hAnsiTheme="minorEastAsia"/>
        </w:rPr>
        <w:t>论文作者（签名）：                  指导教师确认（签名）：</w:t>
      </w:r>
    </w:p>
    <w:p w14:paraId="117C99B0">
      <w:pPr>
        <w:spacing w:line="360" w:lineRule="auto"/>
        <w:ind w:firstLine="2640" w:firstLineChars="1100"/>
        <w:jc w:val="left"/>
        <w:rPr>
          <w:rFonts w:asciiTheme="minorEastAsia" w:hAnsiTheme="minorEastAsia"/>
        </w:rPr>
      </w:pPr>
      <w:r>
        <w:rPr>
          <w:rFonts w:hint="eastAsia" w:asciiTheme="minorEastAsia" w:hAnsiTheme="minorEastAsia"/>
        </w:rPr>
        <w:t>年   月   日                           年   月   日</w:t>
      </w:r>
    </w:p>
    <w:p w14:paraId="302CD79A">
      <w:pPr>
        <w:spacing w:line="360" w:lineRule="auto"/>
        <w:ind w:firstLine="1200" w:firstLineChars="500"/>
        <w:jc w:val="left"/>
        <w:rPr>
          <w:rFonts w:asciiTheme="minorEastAsia" w:hAnsiTheme="minorEastAsia"/>
        </w:rPr>
      </w:pPr>
    </w:p>
    <w:p w14:paraId="5908EE11">
      <w:pPr>
        <w:spacing w:line="360" w:lineRule="auto"/>
        <w:ind w:firstLine="1200" w:firstLineChars="500"/>
        <w:jc w:val="left"/>
        <w:rPr>
          <w:rFonts w:asciiTheme="minorEastAsia" w:hAnsiTheme="minorEastAsia"/>
        </w:rPr>
      </w:pPr>
    </w:p>
    <w:p w14:paraId="204F64B8">
      <w:pPr>
        <w:spacing w:line="360" w:lineRule="auto"/>
        <w:ind w:firstLine="1200" w:firstLineChars="500"/>
        <w:jc w:val="center"/>
        <w:rPr>
          <w:rFonts w:asciiTheme="minorEastAsia" w:hAnsiTheme="minorEastAsia"/>
        </w:rPr>
      </w:pPr>
    </w:p>
    <w:p w14:paraId="1F8F11D8">
      <w:pPr>
        <w:spacing w:line="360" w:lineRule="auto"/>
        <w:ind w:firstLine="600"/>
        <w:jc w:val="center"/>
        <w:rPr>
          <w:rFonts w:ascii="黑体" w:hAnsi="黑体" w:eastAsia="黑体"/>
          <w:sz w:val="30"/>
          <w:szCs w:val="30"/>
        </w:rPr>
      </w:pPr>
      <w:r>
        <w:rPr>
          <w:rFonts w:hint="eastAsia" w:ascii="黑体" w:hAnsi="黑体" w:eastAsia="黑体"/>
          <w:sz w:val="30"/>
          <w:szCs w:val="30"/>
        </w:rPr>
        <w:t>学位论文版权使用授权书</w:t>
      </w:r>
    </w:p>
    <w:p w14:paraId="6FD741E3">
      <w:pPr>
        <w:spacing w:line="360" w:lineRule="auto"/>
        <w:ind w:firstLine="600"/>
        <w:rPr>
          <w:rFonts w:ascii="楷体" w:hAnsi="楷体" w:eastAsia="楷体"/>
          <w:sz w:val="30"/>
          <w:szCs w:val="30"/>
        </w:rPr>
      </w:pPr>
    </w:p>
    <w:p w14:paraId="0AB52459">
      <w:pPr>
        <w:spacing w:line="360" w:lineRule="auto"/>
        <w:ind w:firstLine="480"/>
        <w:rPr>
          <w:rFonts w:asciiTheme="minorEastAsia" w:hAnsiTheme="minorEastAsia"/>
        </w:rPr>
      </w:pPr>
      <w:r>
        <w:rPr>
          <w:rFonts w:hint="eastAsia" w:asciiTheme="minorEastAsia" w:hAnsiTheme="minorEastAsia"/>
        </w:rPr>
        <w:t>本学位论文作者完全了解河北师范大学有权保留并向国家有关部门或机构送交学位论文的复印件和磁盘，允许论文被查阅和借阅。本人授权河北师范大学可以将学位论文的全部或部分内容编入有关数据库进行检索，可以采用影印、缩印或其它复制手段保存、汇编学位论文。</w:t>
      </w:r>
    </w:p>
    <w:p w14:paraId="2919124D">
      <w:pPr>
        <w:spacing w:line="360" w:lineRule="auto"/>
        <w:ind w:firstLine="480"/>
        <w:rPr>
          <w:rFonts w:asciiTheme="minorEastAsia" w:hAnsiTheme="minorEastAsia"/>
        </w:rPr>
      </w:pPr>
      <w:r>
        <w:rPr>
          <w:rFonts w:hint="eastAsia" w:asciiTheme="minorEastAsia" w:hAnsiTheme="minorEastAsia"/>
        </w:rPr>
        <w:t>保密的学位论文在_______年解密后适用本授权书。</w:t>
      </w:r>
    </w:p>
    <w:p w14:paraId="5FB8064C">
      <w:pPr>
        <w:spacing w:line="360" w:lineRule="auto"/>
        <w:ind w:firstLine="480"/>
        <w:rPr>
          <w:rFonts w:asciiTheme="minorEastAsia" w:hAnsiTheme="minorEastAsia"/>
        </w:rPr>
      </w:pPr>
    </w:p>
    <w:p w14:paraId="6C1B5694">
      <w:pPr>
        <w:spacing w:line="360" w:lineRule="auto"/>
        <w:ind w:firstLine="480"/>
        <w:rPr>
          <w:rFonts w:asciiTheme="minorEastAsia" w:hAnsiTheme="minorEastAsia"/>
        </w:rPr>
      </w:pPr>
    </w:p>
    <w:p w14:paraId="3E9BF537">
      <w:pPr>
        <w:spacing w:line="360" w:lineRule="auto"/>
        <w:ind w:firstLine="1200" w:firstLineChars="500"/>
        <w:rPr>
          <w:rFonts w:asciiTheme="minorEastAsia" w:hAnsiTheme="minorEastAsia"/>
        </w:rPr>
      </w:pPr>
      <w:r>
        <w:rPr>
          <w:rFonts w:hint="eastAsia" w:asciiTheme="minorEastAsia" w:hAnsiTheme="minorEastAsia"/>
        </w:rPr>
        <w:t>论文作者（签名）：                 指导教师（签名）：</w:t>
      </w:r>
    </w:p>
    <w:p w14:paraId="70257A3A">
      <w:pPr>
        <w:spacing w:line="360" w:lineRule="auto"/>
        <w:ind w:firstLine="2640" w:firstLineChars="1100"/>
        <w:rPr>
          <w:rFonts w:asciiTheme="minorEastAsia" w:hAnsiTheme="minorEastAsia"/>
        </w:rPr>
      </w:pPr>
      <w:r>
        <w:rPr>
          <w:rFonts w:hint="eastAsia" w:asciiTheme="minorEastAsia" w:hAnsiTheme="minorEastAsia"/>
        </w:rPr>
        <w:t>年   月   日                      年   月   日</w:t>
      </w:r>
    </w:p>
    <w:p w14:paraId="5D35B326">
      <w:pPr>
        <w:spacing w:line="360" w:lineRule="auto"/>
        <w:ind w:firstLine="2640" w:firstLineChars="1100"/>
        <w:rPr>
          <w:rFonts w:asciiTheme="minorEastAsia" w:hAnsiTheme="minorEastAsia"/>
        </w:rPr>
      </w:pPr>
    </w:p>
    <w:p w14:paraId="6733D483">
      <w:pPr>
        <w:spacing w:line="360" w:lineRule="auto"/>
        <w:ind w:firstLine="198" w:firstLineChars="66"/>
        <w:rPr>
          <w:rFonts w:ascii="楷体" w:hAnsi="楷体" w:eastAsia="楷体"/>
          <w:sz w:val="30"/>
          <w:szCs w:val="30"/>
        </w:rPr>
        <w:sectPr>
          <w:pgSz w:w="11906" w:h="16838"/>
          <w:pgMar w:top="1418" w:right="1134" w:bottom="1134" w:left="1134" w:header="851" w:footer="992" w:gutter="284"/>
          <w:cols w:space="425" w:num="1"/>
          <w:docGrid w:linePitch="312" w:charSpace="0"/>
        </w:sectPr>
      </w:pPr>
    </w:p>
    <w:p w14:paraId="25FED2E4">
      <w:pPr>
        <w:pStyle w:val="2"/>
      </w:pPr>
      <w:bookmarkStart w:id="0" w:name="_Toc8307344"/>
      <w:bookmarkStart w:id="1" w:name="_Toc8300437"/>
      <w:bookmarkStart w:id="2" w:name="_Toc8308252"/>
      <w:bookmarkStart w:id="3" w:name="_Toc14267545"/>
      <w:r>
        <w:rPr>
          <w:rFonts w:hint="eastAsia"/>
        </w:rPr>
        <w:t>摘</w:t>
      </w:r>
      <w:r>
        <w:rPr>
          <w:rFonts w:hint="eastAsia"/>
          <w:lang w:val="en-US" w:eastAsia="zh-CN"/>
        </w:rPr>
        <w:t xml:space="preserve">   </w:t>
      </w:r>
      <w:r>
        <w:rPr>
          <w:rFonts w:hint="eastAsia"/>
        </w:rPr>
        <w:t>要</w:t>
      </w:r>
      <w:bookmarkEnd w:id="0"/>
      <w:bookmarkEnd w:id="1"/>
      <w:bookmarkEnd w:id="2"/>
      <w:bookmarkEnd w:id="3"/>
    </w:p>
    <w:p w14:paraId="408EE6EE">
      <w:pPr>
        <w:widowControl w:val="0"/>
        <w:ind w:firstLine="420" w:firstLineChars="0"/>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在 “交通强国” 战略推动下，中国高速铁路以年均新增 3000 公里的速度持续扩张，截至 2024 年，CR400AF 型 “复兴号” 动车组累计安全运行突破 120 亿公里，成为世界上运营规模最大、技术体系最复杂的高速列车族群。作为动车组连接的核心枢纽，自动车钩需在 350km/h 时速下承受交变载荷、电磁干扰、极端温湿度等严苛工况，其可靠性直接决定着列车运行的安全性与经济性。本文依托中国铁路武汉局集团公司 3200 列次故障数据、中车青岛四方机车车辆股份有限公司 1500 小时台架试验及 ANSYS/LS-DYNA 联合仿真，构建了涵盖机械动力学、电气传输特性、气动密封性能的多学科分析模型。通过对钩舌磨损、电气接触失效、气路泄漏等典型故障的失效机理剖析，提出了基于 DLC 涂层强化、硅橡胶 - 聚四氟乙烯复合密封、LSTM 智能预测的系统性解决方案。研究表明，优化后的车钩系统在 - 40℃环境下泄漏率降低 67%，接触电阻稳定性提升 45%，基于多传感器融合的故障诊断系统将人工漏检率从 18% 降至 3.2%，为高速列车关键部件的可靠性提升提供了可复制的工程范式</w:t>
      </w:r>
      <w:r>
        <w:rPr>
          <w:rFonts w:hint="eastAsia" w:asciiTheme="minorEastAsia" w:hAnsiTheme="minorEastAsia" w:cstheme="minorEastAsia"/>
          <w:sz w:val="24"/>
          <w:szCs w:val="24"/>
          <w:lang w:eastAsia="zh-CN"/>
        </w:rPr>
        <w:t>。</w:t>
      </w:r>
    </w:p>
    <w:p w14:paraId="7A6F9A23">
      <w:pPr>
        <w:widowControl w:val="0"/>
        <w:ind w:firstLine="420" w:firstLineChars="0"/>
        <w:rPr>
          <w:rFonts w:eastAsia="宋体"/>
          <w:kern w:val="2"/>
          <w:szCs w:val="20"/>
        </w:rPr>
      </w:pPr>
      <w:r>
        <w:rPr>
          <w:rFonts w:hint="eastAsia" w:eastAsia="黑体"/>
          <w:kern w:val="2"/>
          <w:szCs w:val="20"/>
        </w:rPr>
        <w:t>关键词：</w:t>
      </w:r>
      <w:r>
        <w:rPr>
          <w:rFonts w:hint="eastAsia" w:asciiTheme="minorEastAsia" w:hAnsiTheme="minorEastAsia" w:eastAsiaTheme="minorEastAsia" w:cstheme="minorEastAsia"/>
          <w:sz w:val="24"/>
          <w:szCs w:val="24"/>
        </w:rPr>
        <w:t>CR400AF</w:t>
      </w:r>
      <w:r>
        <w:rPr>
          <w:rFonts w:hint="eastAsia"/>
        </w:rPr>
        <w:t>；</w:t>
      </w:r>
      <w:r>
        <w:rPr>
          <w:rFonts w:hint="eastAsia" w:asciiTheme="minorEastAsia" w:hAnsiTheme="minorEastAsia" w:eastAsiaTheme="minorEastAsia" w:cstheme="minorEastAsia"/>
          <w:sz w:val="24"/>
          <w:szCs w:val="24"/>
        </w:rPr>
        <w:t>电气传输特性</w:t>
      </w:r>
      <w:r>
        <w:rPr>
          <w:rFonts w:hint="eastAsia"/>
        </w:rPr>
        <w:t>；</w:t>
      </w:r>
      <w:r>
        <w:rPr>
          <w:rFonts w:hint="eastAsia" w:asciiTheme="minorEastAsia" w:hAnsiTheme="minorEastAsia" w:eastAsiaTheme="minorEastAsia" w:cstheme="minorEastAsia"/>
          <w:sz w:val="24"/>
          <w:szCs w:val="24"/>
        </w:rPr>
        <w:t>机械动力学</w:t>
      </w:r>
      <w:r>
        <w:rPr>
          <w:rFonts w:hint="eastAsia"/>
        </w:rPr>
        <w:t>；</w:t>
      </w:r>
      <w:r>
        <w:rPr>
          <w:rFonts w:hint="eastAsia" w:asciiTheme="minorEastAsia" w:hAnsiTheme="minorEastAsia" w:eastAsiaTheme="minorEastAsia" w:cstheme="minorEastAsia"/>
          <w:sz w:val="24"/>
          <w:szCs w:val="24"/>
        </w:rPr>
        <w:t>接触电阻稳定性提升</w:t>
      </w:r>
    </w:p>
    <w:p w14:paraId="7BA1737D">
      <w:pPr>
        <w:spacing w:line="240" w:lineRule="auto"/>
        <w:ind w:firstLine="0" w:firstLineChars="0"/>
        <w:jc w:val="left"/>
        <w:rPr>
          <w:rFonts w:ascii="Arial" w:hAnsi="Arial" w:eastAsia="Arial Unicode MS" w:cs="Arial"/>
          <w:kern w:val="2"/>
          <w:sz w:val="30"/>
          <w:szCs w:val="30"/>
        </w:rPr>
      </w:pPr>
      <w:r>
        <w:rPr>
          <w:rFonts w:ascii="Arial" w:hAnsi="Arial" w:eastAsia="Arial Unicode MS" w:cs="Arial"/>
          <w:kern w:val="2"/>
          <w:sz w:val="30"/>
          <w:szCs w:val="30"/>
        </w:rPr>
        <w:br w:type="page"/>
      </w:r>
    </w:p>
    <w:p w14:paraId="645A1EBE">
      <w:pPr>
        <w:spacing w:line="240" w:lineRule="auto"/>
        <w:ind w:firstLine="0" w:firstLineChars="0"/>
        <w:jc w:val="left"/>
        <w:rPr>
          <w:rFonts w:ascii="Arial" w:hAnsi="Arial" w:eastAsia="Arial Unicode MS" w:cs="Arial"/>
          <w:kern w:val="2"/>
          <w:sz w:val="30"/>
          <w:szCs w:val="30"/>
        </w:rPr>
      </w:pPr>
      <w:r>
        <w:rPr>
          <w:rFonts w:hint="eastAsia" w:eastAsia="宋体"/>
          <w:b/>
          <w:kern w:val="2"/>
          <w:sz w:val="32"/>
          <w:szCs w:val="32"/>
        </w:rPr>
        <mc:AlternateContent>
          <mc:Choice Requires="wps">
            <w:drawing>
              <wp:anchor distT="0" distB="0" distL="114300" distR="114300" simplePos="0" relativeHeight="251661312" behindDoc="0" locked="0" layoutInCell="1" allowOverlap="1">
                <wp:simplePos x="0" y="0"/>
                <wp:positionH relativeFrom="column">
                  <wp:posOffset>3619500</wp:posOffset>
                </wp:positionH>
                <wp:positionV relativeFrom="paragraph">
                  <wp:posOffset>-27940</wp:posOffset>
                </wp:positionV>
                <wp:extent cx="1780540" cy="681355"/>
                <wp:effectExtent l="532765" t="4445" r="18415" b="106680"/>
                <wp:wrapNone/>
                <wp:docPr id="223" name="圆角矩形标注 223"/>
                <wp:cNvGraphicFramePr/>
                <a:graphic xmlns:a="http://schemas.openxmlformats.org/drawingml/2006/main">
                  <a:graphicData uri="http://schemas.microsoft.com/office/word/2010/wordprocessingShape">
                    <wps:wsp>
                      <wps:cNvSpPr>
                        <a:spLocks noChangeArrowheads="1"/>
                      </wps:cNvSpPr>
                      <wps:spPr bwMode="auto">
                        <a:xfrm>
                          <a:off x="0" y="0"/>
                          <a:ext cx="1780540" cy="681487"/>
                        </a:xfrm>
                        <a:prstGeom prst="wedgeRoundRectCallout">
                          <a:avLst>
                            <a:gd name="adj1" fmla="val -78097"/>
                            <a:gd name="adj2" fmla="val 62301"/>
                            <a:gd name="adj3" fmla="val 16667"/>
                          </a:avLst>
                        </a:prstGeom>
                        <a:solidFill>
                          <a:srgbClr val="FFFFFF"/>
                        </a:solidFill>
                        <a:ln w="9525">
                          <a:solidFill>
                            <a:srgbClr val="000000"/>
                          </a:solidFill>
                          <a:miter lim="800000"/>
                        </a:ln>
                      </wps:spPr>
                      <wps:txbx>
                        <w:txbxContent>
                          <w:p w14:paraId="11D6F924">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5pt;margin-top:-2.2pt;height:53.65pt;width:140.2pt;z-index:251661312;mso-width-relative:page;mso-height-relative:page;" fillcolor="#FFFFFF" filled="t" stroked="t" coordsize="21600,21600" o:gfxdata="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45kOhNkAAAAKAQAADwAA&#10;AAAAAAABACAAAAAiAAAAZHJzL2Rvd25yZXYueG1sUEsBAhQAFAAAAAgAh07iQOuFhKGHAgAAEQUA&#10;AA4AAAAAAAAAAQAgAAAAKAEAAGRycy9lMm9Eb2MueG1sUEsFBgAAAAAGAAYAWQEAACEGAAAAAA==&#10;" adj="-6069,24257,14400">
                <v:fill on="t" focussize="0,0"/>
                <v:stroke color="#000000" miterlimit="8" joinstyle="miter"/>
                <v:imagedata o:title=""/>
                <o:lock v:ext="edit" aspectratio="f"/>
                <v:textbox>
                  <w:txbxContent>
                    <w:p w14:paraId="11D6F924">
                      <w:pPr>
                        <w:spacing w:line="240" w:lineRule="auto"/>
                        <w:ind w:firstLine="0" w:firstLineChars="0"/>
                        <w:rPr>
                          <w:sz w:val="21"/>
                          <w:szCs w:val="21"/>
                        </w:rPr>
                      </w:pPr>
                      <w:r>
                        <w:rPr>
                          <w:rFonts w:hint="eastAsia" w:ascii="宋体" w:hAnsi="宋体"/>
                          <w:iCs/>
                          <w:sz w:val="21"/>
                          <w:szCs w:val="21"/>
                        </w:rPr>
                        <w:t>Arial 字体小三号字，居中书写，段前40 pt，段后20</w:t>
                      </w:r>
                      <w:r>
                        <w:rPr>
                          <w:rFonts w:hint="eastAsia"/>
                          <w:sz w:val="21"/>
                          <w:szCs w:val="21"/>
                        </w:rPr>
                        <w:t xml:space="preserve"> pt，行距为固定值20 pt</w:t>
                      </w:r>
                      <w:r>
                        <w:rPr>
                          <w:rFonts w:hint="eastAsia" w:ascii="宋体" w:hAnsi="宋体"/>
                          <w:iCs/>
                          <w:sz w:val="21"/>
                          <w:szCs w:val="21"/>
                        </w:rPr>
                        <w:t>。</w:t>
                      </w:r>
                    </w:p>
                  </w:txbxContent>
                </v:textbox>
              </v:shape>
            </w:pict>
          </mc:Fallback>
        </mc:AlternateContent>
      </w:r>
    </w:p>
    <w:p w14:paraId="0CEA072F">
      <w:pPr>
        <w:widowControl w:val="0"/>
        <w:spacing w:before="800" w:after="400"/>
        <w:ind w:firstLine="0" w:firstLineChars="0"/>
        <w:jc w:val="center"/>
        <w:rPr>
          <w:rFonts w:ascii="Arial" w:hAnsi="Arial" w:eastAsia="Arial Unicode MS" w:cs="Arial"/>
          <w:kern w:val="2"/>
          <w:sz w:val="30"/>
          <w:szCs w:val="30"/>
        </w:rPr>
      </w:pPr>
      <w:r>
        <w:rPr>
          <w:rFonts w:hint="eastAsia" w:ascii="宋体" w:hAnsi="宋体" w:eastAsia="宋体"/>
          <w:color w:val="000000"/>
          <w:kern w:val="2"/>
          <w:szCs w:val="20"/>
        </w:rPr>
        <mc:AlternateContent>
          <mc:Choice Requires="wps">
            <w:drawing>
              <wp:anchor distT="0" distB="0" distL="114300" distR="114300" simplePos="0" relativeHeight="251662336" behindDoc="0" locked="0" layoutInCell="1" allowOverlap="1">
                <wp:simplePos x="0" y="0"/>
                <wp:positionH relativeFrom="column">
                  <wp:posOffset>3671570</wp:posOffset>
                </wp:positionH>
                <wp:positionV relativeFrom="paragraph">
                  <wp:posOffset>823595</wp:posOffset>
                </wp:positionV>
                <wp:extent cx="1790700" cy="1062990"/>
                <wp:effectExtent l="1212215" t="4445" r="14605" b="14605"/>
                <wp:wrapNone/>
                <wp:docPr id="224" name="圆角矩形标注 224"/>
                <wp:cNvGraphicFramePr/>
                <a:graphic xmlns:a="http://schemas.openxmlformats.org/drawingml/2006/main">
                  <a:graphicData uri="http://schemas.microsoft.com/office/word/2010/wordprocessingShape">
                    <wps:wsp>
                      <wps:cNvSpPr>
                        <a:spLocks noChangeArrowheads="1"/>
                      </wps:cNvSpPr>
                      <wps:spPr bwMode="auto">
                        <a:xfrm>
                          <a:off x="0" y="0"/>
                          <a:ext cx="1790700" cy="1063256"/>
                        </a:xfrm>
                        <a:prstGeom prst="wedgeRoundRectCallout">
                          <a:avLst>
                            <a:gd name="adj1" fmla="val -115581"/>
                            <a:gd name="adj2" fmla="val -16328"/>
                            <a:gd name="adj3" fmla="val 16667"/>
                          </a:avLst>
                        </a:prstGeom>
                        <a:solidFill>
                          <a:srgbClr val="FFFFFF"/>
                        </a:solidFill>
                        <a:ln w="9525">
                          <a:solidFill>
                            <a:srgbClr val="000000"/>
                          </a:solidFill>
                          <a:miter lim="800000"/>
                        </a:ln>
                      </wps:spPr>
                      <wps:txbx>
                        <w:txbxContent>
                          <w:p w14:paraId="088AC9A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89.1pt;margin-top:64.85pt;height:83.7pt;width:141pt;z-index:251662336;mso-width-relative:page;mso-height-relative:page;" fillcolor="#FFFFFF" filled="t" stroked="t" coordsize="21600,21600" o:gfxdata="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5JZLLZAAAACwEAAA8A&#10;AAAAAAAAAQAgAAAAIgAAAGRycy9kb3ducmV2LnhtbFBLAQIUABQAAAAIAIdO4kAcFx6niAIAABQF&#10;AAAOAAAAAAAAAAEAIAAAACgBAABkcnMvZTJvRG9jLnhtbFBLBQYAAAAABgAGAFkBAAAiBgAAAAA=&#10;" adj="-14165,7273,14400">
                <v:fill on="t" focussize="0,0"/>
                <v:stroke color="#000000" miterlimit="8" joinstyle="miter"/>
                <v:imagedata o:title=""/>
                <o:lock v:ext="edit" aspectratio="f"/>
                <v:textbox>
                  <w:txbxContent>
                    <w:p w14:paraId="088AC9A8">
                      <w:pPr>
                        <w:spacing w:line="240" w:lineRule="auto"/>
                        <w:ind w:firstLine="0" w:firstLineChars="0"/>
                        <w:rPr>
                          <w:sz w:val="21"/>
                          <w:szCs w:val="21"/>
                        </w:rPr>
                      </w:pPr>
                      <w:r>
                        <w:rPr>
                          <w:rFonts w:hint="eastAsia" w:ascii="宋体" w:hAnsi="宋体"/>
                          <w:iCs/>
                          <w:sz w:val="21"/>
                          <w:szCs w:val="21"/>
                        </w:rPr>
                        <w:t>内容采用小四号Times New Roman字体，行距用固定值20</w:t>
                      </w:r>
                      <w:r>
                        <w:rPr>
                          <w:rFonts w:hint="eastAsia"/>
                          <w:sz w:val="21"/>
                          <w:szCs w:val="21"/>
                        </w:rPr>
                        <w:t xml:space="preserve"> pt</w:t>
                      </w:r>
                      <w:r>
                        <w:rPr>
                          <w:rFonts w:hint="eastAsia" w:ascii="宋体" w:hAnsi="宋体"/>
                          <w:iCs/>
                          <w:sz w:val="21"/>
                          <w:szCs w:val="21"/>
                        </w:rPr>
                        <w:t>，段前后0</w:t>
                      </w:r>
                      <w:r>
                        <w:rPr>
                          <w:rFonts w:hint="eastAsia"/>
                          <w:sz w:val="21"/>
                          <w:szCs w:val="21"/>
                        </w:rPr>
                        <w:t xml:space="preserve"> pt</w:t>
                      </w:r>
                      <w:r>
                        <w:rPr>
                          <w:rFonts w:hint="eastAsia" w:ascii="宋体" w:hAnsi="宋体"/>
                          <w:iCs/>
                          <w:sz w:val="21"/>
                          <w:szCs w:val="21"/>
                        </w:rPr>
                        <w:t>。两端对齐，标点符号用英文标点符号。</w:t>
                      </w:r>
                    </w:p>
                  </w:txbxContent>
                </v:textbox>
              </v:shape>
            </w:pict>
          </mc:Fallback>
        </mc:AlternateContent>
      </w:r>
      <w:r>
        <w:rPr>
          <w:rFonts w:ascii="Arial" w:hAnsi="Arial" w:eastAsia="Arial Unicode MS" w:cs="Arial"/>
          <w:kern w:val="2"/>
          <w:sz w:val="30"/>
          <w:szCs w:val="30"/>
        </w:rPr>
        <w:t>ABSTRACT</w:t>
      </w:r>
    </w:p>
    <w:p w14:paraId="039DC7EF">
      <w:pPr>
        <w:widowControl w:val="0"/>
        <w:ind w:firstLine="0" w:firstLineChars="0"/>
        <w:rPr>
          <w:rFonts w:ascii="宋体" w:hAnsi="宋体" w:eastAsia="宋体"/>
          <w:kern w:val="2"/>
          <w:szCs w:val="20"/>
        </w:rPr>
      </w:pPr>
      <w:r>
        <w:rPr>
          <w:rFonts w:eastAsia="宋体"/>
          <w:b/>
          <w:bCs/>
          <w:kern w:val="2"/>
          <w:sz w:val="20"/>
          <w:szCs w:val="20"/>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671195</wp:posOffset>
                </wp:positionV>
                <wp:extent cx="800100" cy="396240"/>
                <wp:effectExtent l="13970" t="13970" r="24130" b="16510"/>
                <wp:wrapNone/>
                <wp:docPr id="222" name="椭圆 222"/>
                <wp:cNvGraphicFramePr/>
                <a:graphic xmlns:a="http://schemas.openxmlformats.org/drawingml/2006/main">
                  <a:graphicData uri="http://schemas.microsoft.com/office/word/2010/wordprocessingShape">
                    <wps:wsp>
                      <wps:cNvSpPr>
                        <a:spLocks noChangeArrowheads="1"/>
                      </wps:cNvSpPr>
                      <wps:spPr bwMode="auto">
                        <a:xfrm>
                          <a:off x="0" y="0"/>
                          <a:ext cx="800100" cy="396240"/>
                        </a:xfrm>
                        <a:prstGeom prst="ellipse">
                          <a:avLst/>
                        </a:prstGeom>
                        <a:noFill/>
                        <a:ln w="28575">
                          <a:solidFill>
                            <a:srgbClr val="FF0000"/>
                          </a:solidFill>
                          <a:round/>
                          <a:headEnd type="none" w="med" len="sm"/>
                        </a:ln>
                        <a:effectLst/>
                      </wps:spPr>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9pt;margin-top:52.85pt;height:31.2pt;width:63pt;z-index:251659264;mso-width-relative:page;mso-height-relative:page;" filled="f" stroked="t" coordsize="21600,21600" o:gfxdata="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scXCLVAAAACwEAAA8AAAAAAAAAAQAg&#10;AAAAIgAAAGRycy9kb3ducmV2LnhtbFBLAQIUABQAAAAIAIdO4kDANgdaSgIAAHcEAAAOAAAAAAAA&#10;AAEAIAAAACQBAABkcnMvZTJvRG9jLnhtbFBLBQYAAAAABgAGAFkBAADgBQAAAAA=&#10;">
                <v:fill on="f" focussize="0,0"/>
                <v:stroke weight="2.25pt" color="#FF0000" joinstyle="round" startarrowlength="short"/>
                <v:imagedata o:title=""/>
                <o:lock v:ext="edit" aspectratio="f"/>
              </v:shape>
            </w:pict>
          </mc:Fallback>
        </mc:AlternateContent>
      </w:r>
      <w:r>
        <w:rPr>
          <w:rFonts w:hint="eastAsia" w:ascii="宋体" w:hAnsi="宋体" w:eastAsia="宋体"/>
          <w:color w:val="000000"/>
          <w:kern w:val="2"/>
          <w:szCs w:val="20"/>
        </w:rPr>
        <w:t>□□</w:t>
      </w:r>
      <w:r>
        <w:rPr>
          <w:rFonts w:hint="eastAsia" w:eastAsia="宋体"/>
          <w:kern w:val="2"/>
          <w:szCs w:val="20"/>
        </w:rPr>
        <w:t>××××××××××××××××××××××××××××××××××××××××××××××××××××××××××××××××××××××××××××××××××××××××××××××××××××××××××××。</w:t>
      </w:r>
    </w:p>
    <w:p w14:paraId="3982A9DC">
      <w:pPr>
        <w:widowControl w:val="0"/>
        <w:ind w:firstLine="0" w:firstLineChars="0"/>
        <w:rPr>
          <w:rFonts w:eastAsia="宋体"/>
          <w:kern w:val="2"/>
          <w:sz w:val="21"/>
          <w:szCs w:val="20"/>
        </w:rPr>
      </w:pPr>
      <w:r>
        <w:rPr>
          <w:rFonts w:eastAsia="宋体"/>
          <w:b/>
          <w:bCs/>
          <w:kern w:val="2"/>
          <w:szCs w:val="20"/>
        </w:rPr>
        <w:t>Key words</w:t>
      </w:r>
      <w:r>
        <w:rPr>
          <w:rFonts w:hint="eastAsia" w:eastAsia="宋体"/>
          <w:b/>
          <w:bCs/>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r>
        <w:rPr>
          <w:rFonts w:hint="eastAsia" w:ascii="宋体" w:hAnsi="宋体" w:eastAsia="黑体"/>
          <w:color w:val="000000"/>
          <w:kern w:val="2"/>
          <w:szCs w:val="20"/>
        </w:rPr>
        <w:t>；</w:t>
      </w:r>
      <w:r>
        <w:rPr>
          <w:rFonts w:hint="eastAsia" w:eastAsia="宋体"/>
          <w:kern w:val="2"/>
          <w:szCs w:val="20"/>
        </w:rPr>
        <w:t>×××××</w:t>
      </w:r>
    </w:p>
    <w:p w14:paraId="0D91110B">
      <w:pPr>
        <w:widowControl w:val="0"/>
        <w:spacing w:line="300" w:lineRule="auto"/>
        <w:ind w:firstLine="0" w:firstLineChars="0"/>
        <w:rPr>
          <w:rFonts w:eastAsia="宋体"/>
          <w:kern w:val="2"/>
          <w:szCs w:val="20"/>
        </w:rPr>
      </w:pPr>
    </w:p>
    <w:p w14:paraId="73A573B7">
      <w:pPr>
        <w:widowControl w:val="0"/>
        <w:spacing w:line="300" w:lineRule="auto"/>
        <w:ind w:firstLine="4800" w:firstLineChars="1500"/>
        <w:rPr>
          <w:rFonts w:ascii="宋体" w:hAnsi="宋体" w:eastAsia="宋体"/>
          <w:iCs/>
          <w:kern w:val="2"/>
          <w:szCs w:val="20"/>
        </w:rPr>
      </w:pPr>
      <w:r>
        <w:rPr>
          <w:rFonts w:hint="eastAsia" w:eastAsia="黑体"/>
          <w:kern w:val="2"/>
          <w:sz w:val="32"/>
          <w:szCs w:val="20"/>
        </w:rPr>
        <mc:AlternateContent>
          <mc:Choice Requires="wps">
            <w:drawing>
              <wp:anchor distT="0" distB="0" distL="114300" distR="114300" simplePos="0" relativeHeight="251660288" behindDoc="0" locked="0" layoutInCell="1" allowOverlap="1">
                <wp:simplePos x="0" y="0"/>
                <wp:positionH relativeFrom="column">
                  <wp:posOffset>2652395</wp:posOffset>
                </wp:positionH>
                <wp:positionV relativeFrom="paragraph">
                  <wp:posOffset>215900</wp:posOffset>
                </wp:positionV>
                <wp:extent cx="1732280" cy="714375"/>
                <wp:effectExtent l="85090" t="524510" r="11430" b="10795"/>
                <wp:wrapNone/>
                <wp:docPr id="221" name="圆角矩形标注 221"/>
                <wp:cNvGraphicFramePr/>
                <a:graphic xmlns:a="http://schemas.openxmlformats.org/drawingml/2006/main">
                  <a:graphicData uri="http://schemas.microsoft.com/office/word/2010/wordprocessingShape">
                    <wps:wsp>
                      <wps:cNvSpPr>
                        <a:spLocks noChangeArrowheads="1"/>
                      </wps:cNvSpPr>
                      <wps:spPr bwMode="auto">
                        <a:xfrm>
                          <a:off x="0" y="0"/>
                          <a:ext cx="1732280" cy="714375"/>
                        </a:xfrm>
                        <a:prstGeom prst="wedgeRoundRectCallout">
                          <a:avLst>
                            <a:gd name="adj1" fmla="val -53876"/>
                            <a:gd name="adj2" fmla="val -121014"/>
                            <a:gd name="adj3" fmla="val 16667"/>
                          </a:avLst>
                        </a:prstGeom>
                        <a:solidFill>
                          <a:srgbClr val="FFFFFF"/>
                        </a:solidFill>
                        <a:ln w="9525">
                          <a:solidFill>
                            <a:srgbClr val="000000"/>
                          </a:solidFill>
                          <a:miter lim="800000"/>
                        </a:ln>
                      </wps:spPr>
                      <wps:txbx>
                        <w:txbxContent>
                          <w:p w14:paraId="5752EE16">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08.85pt;margin-top:17pt;height:56.25pt;width:136.4pt;z-index:251660288;mso-width-relative:page;mso-height-relative:page;" fillcolor="#FFFFFF" filled="t" stroked="t" coordsize="21600,21600" o:gfxdata="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ADvJnYAAAACgEAAA8A&#10;AAAAAAAAAQAgAAAAIgAAAGRycy9kb3ducmV2LnhtbFBLAQIUABQAAAAIAIdO4kAKdIZ/iQIAABMF&#10;AAAOAAAAAAAAAAEAIAAAACcBAABkcnMvZTJvRG9jLnhtbFBLBQYAAAAABgAGAFkBAAAiBgAAAAA=&#10;" adj="-837,-15339,14400">
                <v:fill on="t" focussize="0,0"/>
                <v:stroke color="#000000" miterlimit="8" joinstyle="miter"/>
                <v:imagedata o:title=""/>
                <o:lock v:ext="edit" aspectratio="f"/>
                <v:textbox>
                  <w:txbxContent>
                    <w:p w14:paraId="5752EE16">
                      <w:pPr>
                        <w:spacing w:line="240" w:lineRule="auto"/>
                        <w:ind w:firstLine="0" w:firstLineChars="0"/>
                        <w:rPr>
                          <w:sz w:val="21"/>
                          <w:szCs w:val="21"/>
                        </w:rPr>
                      </w:pPr>
                      <w:r>
                        <w:rPr>
                          <w:rFonts w:hint="eastAsia" w:ascii="宋体" w:hAnsi="宋体"/>
                          <w:iCs/>
                          <w:sz w:val="21"/>
                          <w:szCs w:val="21"/>
                        </w:rPr>
                        <w:t>与中文摘要部分的关键词对应，每个关键词之间用分号间隔。</w:t>
                      </w:r>
                    </w:p>
                  </w:txbxContent>
                </v:textbox>
              </v:shape>
            </w:pict>
          </mc:Fallback>
        </mc:AlternateContent>
      </w:r>
      <w:r>
        <w:rPr>
          <w:rFonts w:eastAsia="宋体"/>
          <w:kern w:val="2"/>
          <w:szCs w:val="20"/>
        </w:rPr>
        <mc:AlternateContent>
          <mc:Choice Requires="wps">
            <w:drawing>
              <wp:anchor distT="0" distB="0" distL="114300" distR="114300" simplePos="0" relativeHeight="251663360" behindDoc="0" locked="0" layoutInCell="1" allowOverlap="1">
                <wp:simplePos x="0" y="0"/>
                <wp:positionH relativeFrom="column">
                  <wp:posOffset>-282575</wp:posOffset>
                </wp:positionH>
                <wp:positionV relativeFrom="paragraph">
                  <wp:posOffset>151130</wp:posOffset>
                </wp:positionV>
                <wp:extent cx="1863090" cy="531495"/>
                <wp:effectExtent l="5080" t="295275" r="6350" b="11430"/>
                <wp:wrapNone/>
                <wp:docPr id="220" name="圆角矩形标注 220"/>
                <wp:cNvGraphicFramePr/>
                <a:graphic xmlns:a="http://schemas.openxmlformats.org/drawingml/2006/main">
                  <a:graphicData uri="http://schemas.microsoft.com/office/word/2010/wordprocessingShape">
                    <wps:wsp>
                      <wps:cNvSpPr>
                        <a:spLocks noChangeArrowheads="1"/>
                      </wps:cNvSpPr>
                      <wps:spPr bwMode="auto">
                        <a:xfrm>
                          <a:off x="0" y="0"/>
                          <a:ext cx="1863090" cy="531628"/>
                        </a:xfrm>
                        <a:prstGeom prst="wedgeRoundRectCallout">
                          <a:avLst>
                            <a:gd name="adj1" fmla="val -16838"/>
                            <a:gd name="adj2" fmla="val -104102"/>
                            <a:gd name="adj3" fmla="val 16667"/>
                          </a:avLst>
                        </a:prstGeom>
                        <a:solidFill>
                          <a:srgbClr val="FFFFFF"/>
                        </a:solidFill>
                        <a:ln w="9525">
                          <a:solidFill>
                            <a:srgbClr val="000000"/>
                          </a:solidFill>
                          <a:miter lim="800000"/>
                        </a:ln>
                      </wps:spPr>
                      <wps:txbx>
                        <w:txbxContent>
                          <w:p w14:paraId="08AE2D57">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760999F">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2.25pt;margin-top:11.9pt;height:41.85pt;width:146.7pt;z-index:251663360;mso-width-relative:page;mso-height-relative:page;" fillcolor="#FFFFFF" filled="t" stroked="t" coordsize="21600,21600" o:gfxdata="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VOeQe1wAAAAoBAAAPAAAA&#10;AAAAAAEAIAAAACIAAABkcnMvZG93bnJldi54bWxQSwECFAAUAAAACACHTuJAKxHnlIgCAAATBQAA&#10;DgAAAAAAAAABACAAAAAmAQAAZHJzL2Uyb0RvYy54bWxQSwUGAAAAAAYABgBZAQAAIAYAAAAA&#10;" adj="7163,-11686,14400">
                <v:fill on="t" focussize="0,0"/>
                <v:stroke color="#000000" miterlimit="8" joinstyle="miter"/>
                <v:imagedata o:title=""/>
                <o:lock v:ext="edit" aspectratio="f"/>
                <v:textbox>
                  <w:txbxContent>
                    <w:p w14:paraId="08AE2D57">
                      <w:pPr>
                        <w:snapToGrid w:val="0"/>
                        <w:spacing w:line="240" w:lineRule="auto"/>
                        <w:ind w:firstLine="0" w:firstLineChars="0"/>
                        <w:rPr>
                          <w:rFonts w:eastAsia="黑体"/>
                          <w:iCs/>
                          <w:sz w:val="21"/>
                          <w:szCs w:val="21"/>
                          <w:u w:val="single"/>
                        </w:rPr>
                      </w:pPr>
                      <w:r>
                        <w:rPr>
                          <w:rFonts w:hint="eastAsia"/>
                          <w:iCs/>
                          <w:sz w:val="21"/>
                          <w:szCs w:val="21"/>
                        </w:rPr>
                        <w:t>顶格，</w:t>
                      </w:r>
                      <w:r>
                        <w:rPr>
                          <w:rFonts w:hint="eastAsia" w:ascii="宋体" w:hAnsi="宋体"/>
                          <w:iCs/>
                          <w:sz w:val="21"/>
                          <w:szCs w:val="21"/>
                        </w:rPr>
                        <w:t>Times New Roman，加黑，</w:t>
                      </w:r>
                      <w:r>
                        <w:rPr>
                          <w:rFonts w:hint="eastAsia"/>
                          <w:iCs/>
                          <w:sz w:val="21"/>
                          <w:szCs w:val="21"/>
                        </w:rPr>
                        <w:t>小四号。</w:t>
                      </w:r>
                    </w:p>
                    <w:p w14:paraId="1760999F">
                      <w:pPr>
                        <w:ind w:firstLine="480"/>
                      </w:pPr>
                    </w:p>
                  </w:txbxContent>
                </v:textbox>
              </v:shape>
            </w:pict>
          </mc:Fallback>
        </mc:AlternateContent>
      </w:r>
    </w:p>
    <w:p w14:paraId="1FE419F7">
      <w:pPr>
        <w:widowControl w:val="0"/>
        <w:spacing w:line="240" w:lineRule="auto"/>
        <w:ind w:firstLine="0" w:firstLineChars="0"/>
        <w:rPr>
          <w:rFonts w:eastAsia="宋体"/>
          <w:kern w:val="2"/>
          <w:sz w:val="21"/>
          <w:szCs w:val="20"/>
        </w:rPr>
      </w:pPr>
    </w:p>
    <w:p w14:paraId="6ADCF85F">
      <w:pPr>
        <w:widowControl w:val="0"/>
        <w:spacing w:line="240" w:lineRule="auto"/>
        <w:ind w:firstLine="0" w:firstLineChars="0"/>
        <w:rPr>
          <w:rFonts w:eastAsia="宋体"/>
          <w:kern w:val="2"/>
          <w:sz w:val="21"/>
          <w:szCs w:val="20"/>
        </w:rPr>
      </w:pPr>
    </w:p>
    <w:p w14:paraId="565DB238">
      <w:pPr>
        <w:widowControl w:val="0"/>
        <w:spacing w:line="240" w:lineRule="auto"/>
        <w:ind w:firstLine="0" w:firstLineChars="0"/>
        <w:rPr>
          <w:rFonts w:eastAsia="宋体"/>
          <w:kern w:val="2"/>
          <w:sz w:val="21"/>
          <w:szCs w:val="20"/>
        </w:rPr>
      </w:pPr>
    </w:p>
    <w:p w14:paraId="1A579FC6">
      <w:pPr>
        <w:widowControl w:val="0"/>
        <w:spacing w:line="240" w:lineRule="auto"/>
        <w:ind w:firstLine="0" w:firstLineChars="0"/>
        <w:rPr>
          <w:rFonts w:eastAsia="宋体"/>
          <w:kern w:val="2"/>
          <w:sz w:val="21"/>
          <w:szCs w:val="20"/>
        </w:rPr>
      </w:pPr>
    </w:p>
    <w:p w14:paraId="1332F952">
      <w:pPr>
        <w:widowControl w:val="0"/>
        <w:spacing w:line="240" w:lineRule="auto"/>
        <w:ind w:firstLine="0" w:firstLineChars="0"/>
        <w:rPr>
          <w:rFonts w:eastAsia="宋体"/>
          <w:kern w:val="2"/>
          <w:sz w:val="21"/>
          <w:szCs w:val="20"/>
        </w:rPr>
      </w:pPr>
    </w:p>
    <w:p w14:paraId="5B32D45F">
      <w:pPr>
        <w:widowControl w:val="0"/>
        <w:spacing w:line="240" w:lineRule="auto"/>
        <w:ind w:firstLine="0" w:firstLineChars="0"/>
        <w:rPr>
          <w:rFonts w:eastAsia="宋体"/>
          <w:kern w:val="2"/>
          <w:sz w:val="21"/>
          <w:szCs w:val="20"/>
        </w:rPr>
      </w:pPr>
    </w:p>
    <w:p w14:paraId="534F2E19">
      <w:pPr>
        <w:widowControl w:val="0"/>
        <w:spacing w:line="240" w:lineRule="auto"/>
        <w:ind w:firstLine="0" w:firstLineChars="0"/>
        <w:rPr>
          <w:rFonts w:eastAsia="宋体"/>
          <w:kern w:val="2"/>
          <w:sz w:val="21"/>
          <w:szCs w:val="20"/>
        </w:rPr>
      </w:pPr>
    </w:p>
    <w:p w14:paraId="29575E2E">
      <w:pPr>
        <w:widowControl w:val="0"/>
        <w:spacing w:line="240" w:lineRule="auto"/>
        <w:ind w:firstLine="0" w:firstLineChars="0"/>
        <w:rPr>
          <w:rFonts w:eastAsia="宋体"/>
          <w:kern w:val="2"/>
          <w:sz w:val="21"/>
          <w:szCs w:val="20"/>
        </w:rPr>
      </w:pPr>
    </w:p>
    <w:p w14:paraId="13F1F30A">
      <w:pPr>
        <w:widowControl w:val="0"/>
        <w:spacing w:line="240" w:lineRule="auto"/>
        <w:ind w:firstLine="0" w:firstLineChars="0"/>
        <w:rPr>
          <w:rFonts w:eastAsia="宋体"/>
          <w:kern w:val="2"/>
          <w:sz w:val="21"/>
          <w:szCs w:val="20"/>
        </w:rPr>
      </w:pPr>
    </w:p>
    <w:p w14:paraId="2B2C0C37">
      <w:pPr>
        <w:widowControl w:val="0"/>
        <w:spacing w:line="240" w:lineRule="auto"/>
        <w:ind w:firstLine="0" w:firstLineChars="0"/>
        <w:rPr>
          <w:rFonts w:eastAsia="宋体"/>
          <w:kern w:val="2"/>
          <w:sz w:val="21"/>
          <w:szCs w:val="20"/>
        </w:rPr>
      </w:pPr>
    </w:p>
    <w:p w14:paraId="5CB99DE4">
      <w:pPr>
        <w:widowControl w:val="0"/>
        <w:spacing w:line="240" w:lineRule="auto"/>
        <w:ind w:firstLine="0" w:firstLineChars="0"/>
        <w:rPr>
          <w:rFonts w:eastAsia="宋体"/>
          <w:kern w:val="2"/>
          <w:sz w:val="21"/>
          <w:szCs w:val="20"/>
        </w:rPr>
      </w:pPr>
    </w:p>
    <w:p w14:paraId="2B771FC3">
      <w:pPr>
        <w:widowControl w:val="0"/>
        <w:spacing w:line="240" w:lineRule="auto"/>
        <w:ind w:firstLine="0" w:firstLineChars="0"/>
        <w:rPr>
          <w:rFonts w:eastAsia="宋体"/>
          <w:b/>
          <w:kern w:val="2"/>
          <w:sz w:val="21"/>
          <w:szCs w:val="20"/>
        </w:rPr>
        <w:sectPr>
          <w:footerReference r:id="rId7" w:type="default"/>
          <w:pgSz w:w="11906" w:h="16838"/>
          <w:pgMar w:top="1418" w:right="1134" w:bottom="1134" w:left="1134" w:header="851" w:footer="992" w:gutter="284"/>
          <w:pgNumType w:fmt="upperRoman" w:start="1" w:chapStyle="1"/>
          <w:cols w:space="425" w:num="1"/>
          <w:docGrid w:linePitch="326" w:charSpace="0"/>
        </w:sectPr>
      </w:pPr>
      <w:r>
        <w:rPr>
          <w:rFonts w:hint="eastAsia" w:eastAsia="宋体"/>
          <w:b/>
          <w:kern w:val="2"/>
          <w:sz w:val="21"/>
          <w:szCs w:val="20"/>
        </w:rPr>
        <w:t>注:摘要单独成页。</w:t>
      </w:r>
    </w:p>
    <w:p w14:paraId="7411EA2E">
      <w:pPr>
        <w:pStyle w:val="2"/>
      </w:pPr>
      <w:bookmarkStart w:id="4" w:name="_Toc14267546"/>
      <w:bookmarkStart w:id="5" w:name="_Toc8307345"/>
      <w:bookmarkStart w:id="6" w:name="_Toc8300438"/>
      <w:bookmarkStart w:id="7" w:name="_Toc8308253"/>
      <w:r>
        <w:rPr>
          <w:rFonts w:hint="eastAsia"/>
        </w:rPr>
        <mc:AlternateContent>
          <mc:Choice Requires="wps">
            <w:drawing>
              <wp:anchor distT="0" distB="0" distL="114300" distR="114300" simplePos="0" relativeHeight="251664384" behindDoc="0" locked="0" layoutInCell="1" allowOverlap="1">
                <wp:simplePos x="0" y="0"/>
                <wp:positionH relativeFrom="column">
                  <wp:posOffset>3792220</wp:posOffset>
                </wp:positionH>
                <wp:positionV relativeFrom="paragraph">
                  <wp:posOffset>177800</wp:posOffset>
                </wp:positionV>
                <wp:extent cx="1905000" cy="905510"/>
                <wp:effectExtent l="313055" t="4445" r="6985" b="19685"/>
                <wp:wrapNone/>
                <wp:docPr id="219" name="圆角矩形标注 219"/>
                <wp:cNvGraphicFramePr/>
                <a:graphic xmlns:a="http://schemas.openxmlformats.org/drawingml/2006/main">
                  <a:graphicData uri="http://schemas.microsoft.com/office/word/2010/wordprocessingShape">
                    <wps:wsp>
                      <wps:cNvSpPr>
                        <a:spLocks noChangeArrowheads="1"/>
                      </wps:cNvSpPr>
                      <wps:spPr bwMode="auto">
                        <a:xfrm>
                          <a:off x="0" y="0"/>
                          <a:ext cx="1905000" cy="905773"/>
                        </a:xfrm>
                        <a:prstGeom prst="wedgeRoundRectCallout">
                          <a:avLst>
                            <a:gd name="adj1" fmla="val -65708"/>
                            <a:gd name="adj2" fmla="val 14353"/>
                            <a:gd name="adj3" fmla="val 16667"/>
                          </a:avLst>
                        </a:prstGeom>
                        <a:solidFill>
                          <a:srgbClr val="FFFFFF"/>
                        </a:solidFill>
                        <a:ln w="9525">
                          <a:solidFill>
                            <a:srgbClr val="000000"/>
                          </a:solidFill>
                          <a:miter lim="800000"/>
                        </a:ln>
                      </wps:spPr>
                      <wps:txbx>
                        <w:txbxContent>
                          <w:p w14:paraId="7651A77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36AC9E43">
                            <w:pPr>
                              <w:ind w:firstLine="0" w:firstLineChars="0"/>
                              <w:rPr>
                                <w:color w:val="FF0000"/>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8.6pt;margin-top:14pt;height:71.3pt;width:150pt;z-index:251664384;mso-width-relative:page;mso-height-relative:page;" fillcolor="#FFFFFF" filled="t" stroked="t" coordsize="21600,21600" o:gfxdata="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Nmt/GPZAAAA&#10;CgEAAA8AAAAAAAAAAQAgAAAAIgAAAGRycy9kb3ducmV2LnhtbFBLAQIUABQAAAAIAIdO4kArECFC&#10;jgIAABEFAAAOAAAAAAAAAAEAIAAAACgBAABkcnMvZTJvRG9jLnhtbFBLBQYAAAAABgAGAFkBAAAo&#10;BgAAAAA=&#10;" adj="-3393,13900,14400">
                <v:fill on="t" focussize="0,0"/>
                <v:stroke color="#000000" miterlimit="8" joinstyle="miter"/>
                <v:imagedata o:title=""/>
                <o:lock v:ext="edit" aspectratio="f"/>
                <v:textbox>
                  <w:txbxContent>
                    <w:p w14:paraId="7651A77F">
                      <w:pPr>
                        <w:spacing w:line="240" w:lineRule="auto"/>
                        <w:ind w:firstLine="0" w:firstLineChars="0"/>
                        <w:rPr>
                          <w:sz w:val="21"/>
                          <w:szCs w:val="21"/>
                        </w:rPr>
                      </w:pPr>
                      <w:r>
                        <w:rPr>
                          <w:rFonts w:hint="eastAsia"/>
                          <w:sz w:val="21"/>
                          <w:szCs w:val="21"/>
                        </w:rPr>
                        <w:t>黑体小三号字，段前40 pt，段后20 pt，行距20 pt</w:t>
                      </w:r>
                      <w:r>
                        <w:rPr>
                          <w:sz w:val="21"/>
                          <w:szCs w:val="21"/>
                        </w:rPr>
                        <w:t>。</w:t>
                      </w:r>
                      <w:r>
                        <w:rPr>
                          <w:rFonts w:hint="eastAsia"/>
                          <w:sz w:val="21"/>
                          <w:szCs w:val="21"/>
                        </w:rPr>
                        <w:t>“目录”两个字中间空两个汉字符宽度。</w:t>
                      </w:r>
                    </w:p>
                    <w:p w14:paraId="36AC9E43">
                      <w:pPr>
                        <w:ind w:firstLine="0" w:firstLineChars="0"/>
                        <w:rPr>
                          <w:color w:val="FF0000"/>
                        </w:rPr>
                      </w:pPr>
                    </w:p>
                  </w:txbxContent>
                </v:textbox>
              </v:shape>
            </w:pict>
          </mc:Fallback>
        </mc:AlternateContent>
      </w:r>
      <w:r>
        <w:rPr>
          <w:rFonts w:hint="eastAsia"/>
        </w:rPr>
        <w:t>目</w:t>
      </w:r>
      <w:r>
        <w:rPr>
          <w:rFonts w:hint="eastAsia"/>
          <w:color w:val="000000"/>
        </w:rPr>
        <w:t>□□</w:t>
      </w:r>
      <w:r>
        <w:rPr>
          <w:rFonts w:hint="eastAsia"/>
        </w:rPr>
        <w:t>录</w:t>
      </w:r>
      <w:bookmarkEnd w:id="4"/>
      <w:bookmarkEnd w:id="5"/>
      <w:bookmarkEnd w:id="6"/>
      <w:bookmarkEnd w:id="7"/>
    </w:p>
    <w:p w14:paraId="15E4AF2B">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第1章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1</w:t>
      </w:r>
    </w:p>
    <w:p w14:paraId="19BCAC9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0508324A">
      <w:pPr>
        <w:widowControl w:val="0"/>
        <w:tabs>
          <w:tab w:val="left" w:leader="dot" w:pos="7980"/>
        </w:tabs>
        <w:ind w:firstLine="0" w:firstLineChars="0"/>
        <w:jc w:val="center"/>
        <w:rPr>
          <w:rFonts w:ascii="宋体" w:hAnsi="宋体" w:eastAsia="宋体"/>
          <w:kern w:val="2"/>
          <w:szCs w:val="20"/>
        </w:rPr>
      </w:pPr>
      <w:r>
        <w:rPr>
          <w:rFonts w:ascii="黑体" w:hAnsi="黑体" w:eastAsia="黑体"/>
          <w:kern w:val="2"/>
          <w:szCs w:val="20"/>
        </w:rPr>
        <mc:AlternateContent>
          <mc:Choice Requires="wps">
            <w:drawing>
              <wp:anchor distT="0" distB="0" distL="114300" distR="114300" simplePos="0" relativeHeight="251665408" behindDoc="0" locked="0" layoutInCell="1" allowOverlap="1">
                <wp:simplePos x="0" y="0"/>
                <wp:positionH relativeFrom="column">
                  <wp:posOffset>2299970</wp:posOffset>
                </wp:positionH>
                <wp:positionV relativeFrom="paragraph">
                  <wp:posOffset>232410</wp:posOffset>
                </wp:positionV>
                <wp:extent cx="2259965" cy="1285875"/>
                <wp:effectExtent l="919480" t="4445" r="5715" b="5080"/>
                <wp:wrapNone/>
                <wp:docPr id="218" name="圆角矩形标注 218"/>
                <wp:cNvGraphicFramePr/>
                <a:graphic xmlns:a="http://schemas.openxmlformats.org/drawingml/2006/main">
                  <a:graphicData uri="http://schemas.microsoft.com/office/word/2010/wordprocessingShape">
                    <wps:wsp>
                      <wps:cNvSpPr>
                        <a:spLocks noChangeArrowheads="1"/>
                      </wps:cNvSpPr>
                      <wps:spPr bwMode="auto">
                        <a:xfrm>
                          <a:off x="0" y="0"/>
                          <a:ext cx="2260121" cy="1285875"/>
                        </a:xfrm>
                        <a:prstGeom prst="wedgeRoundRectCallout">
                          <a:avLst>
                            <a:gd name="adj1" fmla="val -89435"/>
                            <a:gd name="adj2" fmla="val -45106"/>
                            <a:gd name="adj3" fmla="val 16667"/>
                          </a:avLst>
                        </a:prstGeom>
                        <a:solidFill>
                          <a:srgbClr val="FFFFFF"/>
                        </a:solidFill>
                        <a:ln w="9525">
                          <a:solidFill>
                            <a:srgbClr val="000000"/>
                          </a:solidFill>
                          <a:miter lim="800000"/>
                        </a:ln>
                      </wps:spPr>
                      <wps:txbx>
                        <w:txbxContent>
                          <w:p w14:paraId="61B6D34E">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1.1pt;margin-top:18.3pt;height:101.25pt;width:177.95pt;z-index:251665408;mso-width-relative:page;mso-height-relative:page;" fillcolor="#FFFFFF" filled="t" stroked="t" coordsize="21600,21600" o:gfxdata="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OM2t2gAAAAoBAAAP&#10;AAAAAAAAAAEAIAAAACIAAABkcnMvZG93bnJldi54bWxQSwECFAAUAAAACACHTuJAJGC+RogCAAAT&#10;BQAADgAAAAAAAAABACAAAAApAQAAZHJzL2Uyb0RvYy54bWxQSwUGAAAAAAYABgBZAQAAIwYAAAAA&#10;" adj="-8518,1057,14400">
                <v:fill on="t" focussize="0,0"/>
                <v:stroke color="#000000" miterlimit="8" joinstyle="miter"/>
                <v:imagedata o:title=""/>
                <o:lock v:ext="edit" aspectratio="f"/>
                <v:textbox>
                  <w:txbxContent>
                    <w:p w14:paraId="61B6D34E">
                      <w:pPr>
                        <w:spacing w:line="240" w:lineRule="auto"/>
                        <w:ind w:firstLine="0" w:firstLineChars="0"/>
                        <w:rPr>
                          <w:sz w:val="21"/>
                          <w:szCs w:val="21"/>
                        </w:rPr>
                      </w:pPr>
                      <w:r>
                        <w:rPr>
                          <w:rFonts w:hint="eastAsia"/>
                          <w:sz w:val="21"/>
                          <w:szCs w:val="21"/>
                        </w:rPr>
                        <w:t>目录从一级</w:t>
                      </w:r>
                      <w:r>
                        <w:rPr>
                          <w:sz w:val="21"/>
                          <w:szCs w:val="21"/>
                        </w:rPr>
                        <w:t>标题</w:t>
                      </w:r>
                      <w:r>
                        <w:rPr>
                          <w:rFonts w:hint="eastAsia"/>
                          <w:sz w:val="21"/>
                          <w:szCs w:val="21"/>
                        </w:rPr>
                        <w:t>开始，每章标题用黑体小四号字，行间距为20 pt，行前空6 pt，行后空0 pt。其他级节标题用宋体小四号字，行间距为20 pt。下级标题比上级左边多空两个汉字符宽度。</w:t>
                      </w:r>
                    </w:p>
                  </w:txbxContent>
                </v:textbox>
              </v:shape>
            </w:pict>
          </mc:Fallback>
        </mc:AlternateContent>
      </w: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1</w:t>
      </w:r>
    </w:p>
    <w:p w14:paraId="27E3222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667DB7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1.3</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7D92490">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062A891">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ascii="宋体" w:hAnsi="宋体" w:eastAsia="宋体"/>
          <w:kern w:val="2"/>
          <w:szCs w:val="20"/>
        </w:rPr>
        <w:t>1.</w:t>
      </w:r>
      <w:r>
        <w:rPr>
          <w:rFonts w:hint="eastAsia" w:ascii="宋体" w:hAnsi="宋体" w:eastAsia="宋体"/>
          <w:kern w:val="2"/>
          <w:szCs w:val="20"/>
        </w:rPr>
        <w:t>2.1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CEE0405">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第2章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337B224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00FCF4C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□□□□2.1.</w:t>
      </w:r>
      <w:r>
        <w:rPr>
          <w:rFonts w:hint="eastAsia" w:ascii="宋体" w:hAnsi="宋体" w:eastAsia="宋体"/>
          <w:kern w:val="2"/>
          <w:szCs w:val="20"/>
        </w:rPr>
        <w:t>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CB5655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F0EF0A5">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□□□□2.2.1□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F7DE3D0">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第3章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64808CB3">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450CA3A">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3.1.1</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76ABDC12">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□□3.2□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57DC668">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w:t>
      </w:r>
      <w:r>
        <w:rPr>
          <w:rFonts w:hint="eastAsia" w:ascii="宋体" w:hAnsi="宋体" w:eastAsia="宋体"/>
          <w:kern w:val="2"/>
          <w:szCs w:val="20"/>
        </w:rPr>
        <w:t>3.1.2</w:t>
      </w:r>
      <w:r>
        <w:rPr>
          <w:rFonts w:hint="eastAsia" w:ascii="宋体" w:hAnsi="宋体" w:eastAsia="宋体"/>
          <w:color w:val="000000"/>
          <w:kern w:val="2"/>
          <w:szCs w:val="20"/>
        </w:rPr>
        <w:t>□</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6D8F4D75">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第4章</w:t>
      </w:r>
      <w:r>
        <w:rPr>
          <w:rFonts w:hint="eastAsia" w:ascii="宋体" w:hAnsi="宋体" w:eastAsia="宋体"/>
          <w:color w:val="000000"/>
          <w:kern w:val="2"/>
          <w:szCs w:val="20"/>
        </w:rPr>
        <w:t>□</w:t>
      </w:r>
      <w:r>
        <w:rPr>
          <w:rFonts w:ascii="黑体" w:hAnsi="黑体" w:eastAsia="黑体"/>
          <w:kern w:val="2"/>
          <w:szCs w:val="20"/>
        </w:rPr>
        <w:t>×××</w:t>
      </w:r>
      <w:r>
        <w:rPr>
          <w:rFonts w:hint="eastAsia" w:ascii="宋体" w:hAnsi="宋体" w:eastAsia="宋体"/>
          <w:kern w:val="2"/>
          <w:szCs w:val="20"/>
        </w:rPr>
        <w:tab/>
      </w:r>
      <w:r>
        <w:rPr>
          <w:rFonts w:hint="eastAsia" w:ascii="宋体" w:hAnsi="宋体" w:eastAsia="宋体"/>
          <w:kern w:val="2"/>
          <w:szCs w:val="20"/>
        </w:rPr>
        <w:t>n</w:t>
      </w:r>
    </w:p>
    <w:p w14:paraId="67CC739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32429A7E">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□□□□4.1.1□</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2D36FE80">
      <w:pPr>
        <w:widowControl w:val="0"/>
        <w:tabs>
          <w:tab w:val="left" w:leader="dot" w:pos="7980"/>
        </w:tabs>
        <w:ind w:firstLine="0" w:firstLineChars="0"/>
        <w:jc w:val="center"/>
        <w:rPr>
          <w:rFonts w:ascii="宋体" w:hAnsi="宋体" w:eastAsia="宋体"/>
          <w:kern w:val="2"/>
          <w:szCs w:val="20"/>
        </w:rPr>
      </w:pPr>
      <w:r>
        <w:rPr>
          <w:rFonts w:hint="eastAsia" w:ascii="宋体" w:hAnsi="宋体" w:eastAsia="宋体"/>
          <w:color w:val="000000"/>
          <w:kern w:val="2"/>
          <w:szCs w:val="20"/>
        </w:rPr>
        <w:t>□□□□4.1.2□</w:t>
      </w:r>
      <w:r>
        <w:rPr>
          <w:rFonts w:ascii="宋体" w:hAnsi="宋体" w:eastAsia="宋体"/>
          <w:kern w:val="2"/>
          <w:szCs w:val="20"/>
        </w:rPr>
        <w:t>×××</w:t>
      </w:r>
      <w:r>
        <w:rPr>
          <w:rFonts w:hint="eastAsia" w:ascii="宋体" w:hAnsi="宋体" w:eastAsia="宋体"/>
          <w:kern w:val="2"/>
          <w:szCs w:val="20"/>
        </w:rPr>
        <w:tab/>
      </w:r>
      <w:r>
        <w:rPr>
          <w:rFonts w:hint="eastAsia" w:ascii="宋体" w:hAnsi="宋体" w:eastAsia="宋体"/>
          <w:kern w:val="2"/>
          <w:szCs w:val="20"/>
        </w:rPr>
        <w:t>n</w:t>
      </w:r>
    </w:p>
    <w:p w14:paraId="54C7687B">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结论</w:t>
      </w:r>
      <w:r>
        <w:rPr>
          <w:rFonts w:hint="eastAsia" w:ascii="黑体" w:hAnsi="黑体" w:eastAsia="黑体"/>
          <w:kern w:val="2"/>
          <w:szCs w:val="20"/>
        </w:rPr>
        <w:tab/>
      </w:r>
      <w:r>
        <w:rPr>
          <w:rFonts w:hint="eastAsia" w:ascii="黑体" w:hAnsi="黑体" w:eastAsia="黑体"/>
          <w:kern w:val="2"/>
          <w:szCs w:val="20"/>
        </w:rPr>
        <w:t>n</w:t>
      </w:r>
    </w:p>
    <w:p w14:paraId="6553C732">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参考文献</w:t>
      </w:r>
      <w:r>
        <w:rPr>
          <w:rFonts w:hint="eastAsia" w:ascii="黑体" w:hAnsi="黑体" w:eastAsia="黑体"/>
          <w:kern w:val="2"/>
          <w:szCs w:val="20"/>
        </w:rPr>
        <w:tab/>
      </w:r>
      <w:r>
        <w:rPr>
          <w:rFonts w:hint="eastAsia" w:ascii="黑体" w:hAnsi="黑体" w:eastAsia="黑体"/>
          <w:kern w:val="2"/>
          <w:szCs w:val="20"/>
        </w:rPr>
        <w:t>n</w:t>
      </w:r>
    </w:p>
    <w:p w14:paraId="6ACC8F05">
      <w:pPr>
        <w:widowControl w:val="0"/>
        <w:tabs>
          <w:tab w:val="left" w:leader="dot" w:pos="7980"/>
        </w:tabs>
        <w:spacing w:before="120"/>
        <w:ind w:firstLine="0" w:firstLineChars="0"/>
        <w:jc w:val="center"/>
        <w:rPr>
          <w:rFonts w:ascii="黑体" w:hAnsi="黑体" w:eastAsia="黑体"/>
          <w:kern w:val="2"/>
          <w:szCs w:val="20"/>
        </w:rPr>
      </w:pPr>
      <w:r>
        <w:rPr>
          <w:rFonts w:hint="eastAsia" w:ascii="黑体" w:hAnsi="黑体" w:eastAsia="黑体"/>
          <w:kern w:val="2"/>
          <w:szCs w:val="20"/>
        </w:rPr>
        <w:t>致谢</w:t>
      </w:r>
      <w:r>
        <w:rPr>
          <w:rFonts w:hint="eastAsia" w:ascii="黑体" w:hAnsi="黑体" w:eastAsia="黑体"/>
          <w:kern w:val="2"/>
          <w:szCs w:val="20"/>
        </w:rPr>
        <w:tab/>
      </w:r>
      <w:r>
        <w:rPr>
          <w:rFonts w:hint="eastAsia" w:ascii="黑体" w:hAnsi="黑体" w:eastAsia="黑体"/>
          <w:kern w:val="2"/>
          <w:szCs w:val="20"/>
        </w:rPr>
        <w:t>n</w:t>
      </w:r>
    </w:p>
    <w:p w14:paraId="081F3159">
      <w:pPr>
        <w:widowControl w:val="0"/>
        <w:tabs>
          <w:tab w:val="left" w:leader="dot" w:pos="7980"/>
        </w:tabs>
        <w:spacing w:before="120"/>
        <w:ind w:firstLine="0" w:firstLineChars="0"/>
        <w:jc w:val="center"/>
        <w:rPr>
          <w:rFonts w:ascii="宋体" w:hAnsi="宋体" w:eastAsia="宋体"/>
          <w:kern w:val="2"/>
          <w:szCs w:val="20"/>
        </w:rPr>
      </w:pPr>
      <w:r>
        <w:rPr>
          <w:rFonts w:hint="eastAsia" w:ascii="黑体" w:hAnsi="黑体" w:eastAsia="黑体"/>
          <w:kern w:val="2"/>
          <w:szCs w:val="20"/>
        </w:rPr>
        <w:t>附录</w:t>
      </w:r>
      <w:r>
        <w:rPr>
          <w:rFonts w:hint="eastAsia" w:ascii="黑体" w:hAnsi="黑体" w:eastAsia="黑体"/>
          <w:kern w:val="2"/>
          <w:szCs w:val="20"/>
        </w:rPr>
        <w:tab/>
      </w:r>
      <w:r>
        <w:rPr>
          <w:rFonts w:hint="eastAsia" w:ascii="宋体" w:hAnsi="宋体" w:eastAsia="宋体"/>
          <w:kern w:val="2"/>
          <w:szCs w:val="20"/>
        </w:rPr>
        <w:t>n</w:t>
      </w:r>
    </w:p>
    <w:p w14:paraId="325748C0">
      <w:pPr>
        <w:widowControl w:val="0"/>
        <w:spacing w:line="300" w:lineRule="auto"/>
        <w:ind w:firstLine="0" w:firstLineChars="0"/>
        <w:rPr>
          <w:rFonts w:eastAsia="宋体"/>
          <w:iCs/>
          <w:kern w:val="2"/>
          <w:szCs w:val="20"/>
        </w:rPr>
      </w:pPr>
    </w:p>
    <w:p w14:paraId="2BF6739F">
      <w:pPr>
        <w:widowControl w:val="0"/>
        <w:spacing w:line="240" w:lineRule="auto"/>
        <w:ind w:firstLine="0" w:firstLineChars="0"/>
        <w:rPr>
          <w:rFonts w:eastAsia="宋体"/>
          <w:b/>
          <w:kern w:val="2"/>
          <w:sz w:val="21"/>
          <w:szCs w:val="20"/>
        </w:rPr>
        <w:sectPr>
          <w:pgSz w:w="11906" w:h="16838"/>
          <w:pgMar w:top="1418" w:right="1134" w:bottom="1134" w:left="1134" w:header="851" w:footer="992" w:gutter="284"/>
          <w:pgNumType w:fmt="upperRoman" w:chapStyle="1"/>
          <w:cols w:space="425" w:num="1"/>
          <w:docGrid w:linePitch="326" w:charSpace="0"/>
        </w:sectPr>
      </w:pPr>
      <w:r>
        <w:rPr>
          <w:rFonts w:hint="eastAsia" w:eastAsia="宋体"/>
          <w:b/>
          <w:kern w:val="2"/>
          <w:sz w:val="21"/>
          <w:szCs w:val="20"/>
        </w:rPr>
        <w:t>注:目录单独成页。</w:t>
      </w:r>
    </w:p>
    <w:p w14:paraId="49A3E19E">
      <w:pPr>
        <w:pStyle w:val="2"/>
      </w:pPr>
      <w:bookmarkStart w:id="8" w:name="_Toc14267547"/>
      <w:bookmarkStart w:id="9" w:name="_Toc8300439"/>
      <w:bookmarkStart w:id="10" w:name="_Toc8307346"/>
      <w:bookmarkStart w:id="11" w:name="_Toc8308254"/>
      <w:r>
        <w:rPr>
          <w:rFonts w:hint="eastAsia"/>
        </w:rPr>
        <w:t>第1章</w:t>
      </w:r>
      <w:bookmarkEnd w:id="8"/>
      <w:bookmarkEnd w:id="9"/>
      <w:bookmarkEnd w:id="10"/>
      <w:bookmarkEnd w:id="11"/>
      <w:r>
        <w:rPr>
          <w:rFonts w:hint="eastAsia"/>
          <w:lang w:val="en-US" w:eastAsia="zh-CN"/>
        </w:rPr>
        <w:t xml:space="preserve"> </w:t>
      </w:r>
      <w:r>
        <w:rPr>
          <w:rFonts w:hint="eastAsia"/>
        </w:rPr>
        <w:t>绪论</w:t>
      </w:r>
    </w:p>
    <w:p w14:paraId="14C3B482">
      <w:pPr>
        <w:pStyle w:val="3"/>
      </w:pPr>
      <w:bookmarkStart w:id="12" w:name="_Toc8307347"/>
      <w:bookmarkStart w:id="13" w:name="_Toc8308255"/>
      <w:bookmarkStart w:id="14" w:name="_Toc8300440"/>
      <w:bookmarkStart w:id="15" w:name="_Toc14267548"/>
      <w:r>
        <w:rPr>
          <w:rFonts w:hint="eastAsia"/>
          <w:lang w:val="en-US" w:eastAsia="zh-CN"/>
        </w:rPr>
        <w:t>1</w:t>
      </w:r>
      <w:r>
        <w:t>.1</w:t>
      </w:r>
      <w:r>
        <w:rPr>
          <w:rFonts w:hint="eastAsia"/>
          <w:lang w:val="en-US" w:eastAsia="zh-CN"/>
        </w:rPr>
        <w:t xml:space="preserve"> </w:t>
      </w:r>
      <w:bookmarkEnd w:id="12"/>
      <w:bookmarkEnd w:id="13"/>
      <w:bookmarkEnd w:id="14"/>
      <w:bookmarkEnd w:id="15"/>
      <w:r>
        <w:rPr>
          <w:rFonts w:hint="eastAsia" w:ascii="黑体" w:hAnsi="黑体" w:eastAsia="黑体" w:cs="黑体"/>
          <w:b w:val="0"/>
          <w:bCs w:val="0"/>
          <w:sz w:val="28"/>
          <w:szCs w:val="28"/>
        </w:rPr>
        <w:t>研究背景</w:t>
      </w:r>
    </w:p>
    <w:p w14:paraId="5BF3CB7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自动车钩的核心功能构建于 “机械 - 电气 - 气动” 三位一体的耦合系统之上：</w:t>
      </w:r>
    </w:p>
    <w:p w14:paraId="644E05C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机械结构承担着高达 1500kN 牵引力与 2000kN 压缩力的传递，其强度设计需满足 TB/T 456-2018 标准中 1.5 倍安全系数要求。在列车运行过程中，机械结构不仅要承受静态的牵引力和压缩力，还要应对列车启动、制动、过弯道等动态工况下的交变载荷。</w:t>
      </w:r>
    </w:p>
    <w:p w14:paraId="6B28A6A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电气系统负责 25kV 高压供电与 MVB 总线通信，接触电阻需控制在 10mΩ 以内以避免过热失效。高压供电的稳定性直接影响列车牵引动力的输出，而 MVB 总线通信的可靠性则关系到列车各系统之间的信息交互和协同控制。</w:t>
      </w:r>
    </w:p>
    <w:p w14:paraId="0458A5B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气动系统维持 600kPa 制动压力，泄漏率超过 0.5kPa/min 将触发安全保护机制。制动压力的稳定是列车安全制动的关键，任何微小的泄漏都可能导致制动响应时间延长，增加行车风险。</w:t>
      </w:r>
    </w:p>
    <w:p w14:paraId="6CE8909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任一子系统的性能退化均可能引发连锁反应：钩舌磨损导致的机械间隙会放大运行振动，进而加剧电气连接器插针的疲劳弯曲。当钩舌磨损量达到 0.5mm 时，运行振动的加速度幅值较正常状态增加 30%，导致电气插针的疲劳寿命缩短 50%。气路密封圈老化产生的泄漏会增加制动响应时间，间接提升机械部件的冲击载荷。泄漏率每增加 0.1kPa/min，制动响应时间延长 50ms，使得机械部件在制动过程中承受的冲击载荷增加 10%。这种多系统交互作用使得车钩故障呈现出显著的非线性特征，传统的单一故障诊断方法难以奏效，必须建立跨系统的协同分析模型。</w:t>
      </w:r>
    </w:p>
    <w:p w14:paraId="4C0AA6E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从运维成本角度考量，当前国内动车组车钩检修主要依赖定期拆解检查，单次全面检修需耗时 8 小时，消耗润滑脂、密封圈等配件成本约 2 万元。据中国铁道科学研究院测算，若能将故障预测提前 24 小时，可减少 50% 的计划外停车，每年节约运维成本超 3 亿元。因此，开展车钩工作原理与故障机理研究，既是保障行车安全的技术必需，也是提升运营效率的经济刚需。</w:t>
      </w:r>
    </w:p>
    <w:p w14:paraId="0A3BA68D">
      <w:pPr>
        <w:pStyle w:val="3"/>
        <w:rPr>
          <w:rFonts w:hint="eastAsia"/>
          <w:lang w:val="en-US" w:eastAsia="zh-CN"/>
        </w:rPr>
      </w:pPr>
      <w:r>
        <w:rPr>
          <w:rFonts w:hint="eastAsia"/>
          <w:lang w:val="en-US" w:eastAsia="zh-CN"/>
        </w:rPr>
        <w:t>1.2 研究意义</w:t>
      </w:r>
    </w:p>
    <w:p w14:paraId="0F6B286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自动车钩的核心功能构建于 “机械 - 电气 - 气动” 三位一体的耦合系统之上：机械结构承担着高达 1500kN 牵引力与 2000kN 压缩力的传递，其强度设计需满足 TB/T 456-2018 标准中 1.5 倍安全系数要求；电气系统负责 25kV 高压供电与 MVB 总线通信，接触电阻需控制在 10mΩ 以内以避免过热失效；气动系统维持 600kPa 制动压力，泄漏率超过 0.5kPa/min 将触发安全保护机制。任一子系统的性能退化均可能引发连锁反应：钩舌磨损导致的机械间隙会放大运行振动，进而加剧电气连接器插针的疲劳弯曲；气路密封圈老化产生的泄漏会增加制动响应时间，间接提升机械部件的冲击载荷。这种多系统交互作用使得车钩故障呈现出显著的非线性特征，传统的单一故障诊断方法难以奏效，必须建立跨系统的协同分析模型。</w:t>
      </w:r>
    </w:p>
    <w:p w14:paraId="7E75235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从运维成本角度考量，当前国内动车组车钩检修主要依赖定期拆解检查，单次全面检修需耗时 8 小时，消耗润滑脂、密封圈等配件成本约 2 万元。据中国铁道科学研究院测算，若能将故障预测提前 24 小时，可减少 50% 的计划外停车，每年节约运维成本超 3 亿元。因此，开展车钩工作原理与故障机理研究，既是保障行车安全的技术必需，也是提升运营效率的经济刚需。</w:t>
      </w:r>
    </w:p>
    <w:p w14:paraId="5D2629D5">
      <w:pPr>
        <w:pStyle w:val="3"/>
        <w:rPr>
          <w:rFonts w:hint="eastAsia"/>
          <w:lang w:val="en-US" w:eastAsia="zh-CN"/>
        </w:rPr>
      </w:pPr>
      <w:r>
        <w:rPr>
          <w:rFonts w:hint="eastAsia"/>
          <w:lang w:val="en-US" w:eastAsia="zh-CN"/>
        </w:rPr>
        <w:t>1.3国内外研究现状</w:t>
      </w:r>
    </w:p>
    <w:p w14:paraId="7943872D">
      <w:pPr>
        <w:pStyle w:val="4"/>
        <w:rPr>
          <w:rFonts w:hint="eastAsia"/>
        </w:rPr>
      </w:pPr>
      <w:r>
        <w:rPr>
          <w:rFonts w:hint="eastAsia"/>
          <w:lang w:val="en-US" w:eastAsia="zh-CN"/>
        </w:rPr>
        <w:t>1</w:t>
      </w:r>
      <w:r>
        <w:rPr>
          <w:rFonts w:hint="default"/>
        </w:rPr>
        <w:t>.3.1 国外研究进展</w:t>
      </w:r>
    </w:p>
    <w:p w14:paraId="57F3E8B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国外在高速车钩领域的研究聚焦于智能化监测与极端环境适应性：美国专利 US20190375621A1 提出了基于光纤布拉格光栅的钩舌应力监测系统，可实时识别 0.01mm 级的微裂纹。该系统通过在钩舌表面粘贴光纤布拉格光栅传感器，利用光的反射原理监测钩舌的应力变化，具有高精度、抗电磁干扰的优点，但传感器的安装和维护需要专业的技术和设备，成本较高。</w:t>
      </w:r>
    </w:p>
    <w:p w14:paraId="106CCFC1">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欧洲铁路联盟（CER）主导的 “SmartCoupler” 项目开发了集成振动传感器与无线传输模块的智能车钩，实现了全生命周期数据的远程管理。该智能车钩能够实时采集车钩的振动、温度、压力等数据，并通过无线传输模块将数据发送至地面监控中心，实现对车钩状态的远程监控和故障预警。这些技术的核心优势在于将传感器深度嵌入机械结构，通过大数据分析实现故障的早期预警，但存在成本高昂（单套监测系统约 15 万元）、维护复杂等问题，尚未形成规模化应用。</w:t>
      </w:r>
    </w:p>
    <w:p w14:paraId="289EEFC8">
      <w:pPr>
        <w:pStyle w:val="4"/>
        <w:rPr>
          <w:rFonts w:hint="default"/>
        </w:rPr>
      </w:pPr>
      <w:r>
        <w:rPr>
          <w:rFonts w:hint="eastAsia"/>
          <w:lang w:val="en-US" w:eastAsia="zh-CN"/>
        </w:rPr>
        <w:t>1</w:t>
      </w:r>
      <w:r>
        <w:rPr>
          <w:rFonts w:hint="default"/>
        </w:rPr>
        <w:t>.3.2 国内研究现状</w:t>
      </w:r>
    </w:p>
    <w:p w14:paraId="2714EE63">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国内自 CR400AF 车钩国产化以来，在材料改性与结构优化方面取得显著进展：中车唐山机车车辆有限公司研发的耐低温氟橡胶密封圈，在 - 45℃环境下的压缩永久变形率小于 20%，较进口产品提升 30%。通过对氟橡胶分子结构的改性，增加了分子链的交联密度，提高了密封圈在低温下的弹性保持率。</w:t>
      </w:r>
    </w:p>
    <w:p w14:paraId="4707A7BC">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中国科学院金属研究所开发的表面渗碳淬火工艺，使钩舌表面硬度从 HRC50 提升至 HRC55，耐磨性提高 2 倍。渗碳淬火工艺在钩舌表面形成了一层高硬度的渗碳层，有效抵抗了磨损过程中的磨粒切削作用。</w:t>
      </w:r>
    </w:p>
    <w:p w14:paraId="1E73A915">
      <w:pPr>
        <w:bidi w:val="0"/>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然而，现有研究仍存在三大技术瓶颈：其一，缺乏对 “连挂冲击 - 振动疲劳 - 材料劣化” 多场耦合失效路径的量化分析。目前对于各因素之间的相互作用关系和影响程度尚未形成明确的数学模型，难以准确预测车钩的失效时间和模式。其二，故障诊断依赖阈值报警，未能构建基于机器学习的预测模型。传统的阈值报警方法只能在故障发生后进行报警，无法实现故障的早期预测和预警。其三，极端工况下（如盐雾腐蚀、沙尘侵入）的失效机理尚不明确，导致防护措施存在盲区。在盐雾腐蚀环境中，车钩的金属部件容易发生电化学腐蚀，而沙尘侵入会加剧机械部件的磨损，但目前对于这些极端工况下的失效机理研究还不够深入。</w:t>
      </w:r>
    </w:p>
    <w:p w14:paraId="3EE2B4AD">
      <w:pPr>
        <w:pStyle w:val="4"/>
        <w:rPr>
          <w:rFonts w:hint="default"/>
          <w:lang w:val="en-US" w:eastAsia="zh-CN"/>
        </w:rPr>
      </w:pPr>
      <w:r>
        <w:rPr>
          <w:rFonts w:hint="eastAsia"/>
          <w:lang w:val="en-US" w:eastAsia="zh-CN"/>
        </w:rPr>
        <w:t>1</w:t>
      </w:r>
      <w:r>
        <w:rPr>
          <w:rFonts w:hint="default"/>
          <w:lang w:val="en-US" w:eastAsia="zh-CN"/>
        </w:rPr>
        <w:t>.3.3 研究热点与不足</w:t>
      </w:r>
    </w:p>
    <w:p w14:paraId="54F05490">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当前研究集中在疲劳寿命预测（如基于 Paris 定律的钩舌裂纹扩展模型）、气路泄漏检测（超声波检漏技术，最小检测泄漏率 0.1kPa/min）等领域。但针对 CR400AF 车钩仍存在以下不足：</w:t>
      </w:r>
    </w:p>
    <w:p w14:paraId="3BD48E66">
      <w:pPr>
        <w:keepNext w:val="0"/>
        <w:keepLines w:val="0"/>
        <w:widowControl/>
        <w:suppressLineNumbers w:val="0"/>
        <w:shd w:val="clear" w:fill="FFFFFF"/>
        <w:spacing w:line="420" w:lineRule="atLeast"/>
        <w:ind w:left="0" w:leftChars="0" w:firstLine="420" w:firstLineChars="0"/>
        <w:jc w:val="left"/>
      </w:pPr>
      <w:r>
        <w:rPr>
          <w:rFonts w:hint="default" w:ascii="Segoe UI" w:hAnsi="Segoe UI" w:eastAsia="Segoe UI" w:cs="Segoe UI"/>
          <w:i w:val="0"/>
          <w:iCs w:val="0"/>
          <w:caps w:val="0"/>
          <w:spacing w:val="0"/>
          <w:kern w:val="0"/>
          <w:sz w:val="24"/>
          <w:szCs w:val="24"/>
          <w:shd w:val="clear" w:fill="FFFFFF"/>
          <w:lang w:val="en-US" w:eastAsia="zh-CN" w:bidi="ar"/>
        </w:rPr>
        <w:t>多系统耦合失效机理不明：机械磨损、电气接触劣化、气动密封失效的交互影响机制尚未完全厘清。例如，钩舌磨损如何影响电气接触电阻的变化，以及气路泄漏如何加剧机械部件的疲劳损伤等问题，还需要进一步的实验和理论研究。</w:t>
      </w:r>
    </w:p>
    <w:p w14:paraId="2743B630">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智能化诊断技术滞后：现有检测依赖人工目视检查（漏检率约 15%），缺乏基于多传感器融合的实时监测方案。人工目视检查受限于检测人员的经验和技能，容易出现漏检和误判，无法满足高速列车对车钩可靠性的高要求。</w:t>
      </w:r>
    </w:p>
    <w:p w14:paraId="6321EEBF">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极端环境适应性不足：-40℃以下低温环境下，密封圈失效概率较常温升高 3 倍（数据来源：中车青岛四方机车车辆股份有限公司环境试验报告）。在极端低温环境中，密封圈的弹性模量急剧增加，密封接触应力下降，导致泄漏率显著上升，而目前的密封圈材料和结构设计还不能完全适应这种极端环境。</w:t>
      </w:r>
    </w:p>
    <w:p w14:paraId="6A61F0CE">
      <w:pPr>
        <w:pStyle w:val="3"/>
        <w:keepNext w:val="0"/>
        <w:keepLines w:val="0"/>
        <w:widowControl/>
        <w:suppressLineNumbers w:val="0"/>
        <w:pBdr>
          <w:bottom w:val="none" w:color="auto" w:sz="0" w:space="0"/>
        </w:pBdr>
        <w:shd w:val="clear" w:fill="FFFFFF"/>
        <w:spacing w:before="420" w:beforeAutospacing="0" w:after="180" w:afterAutospacing="0" w:line="420" w:lineRule="atLeast"/>
        <w:ind w:left="0" w:firstLine="0"/>
        <w:rPr>
          <w:rFonts w:hint="default" w:ascii="黑体" w:hAnsi="黑体" w:eastAsia="黑体" w:cs="Times New Roman"/>
          <w:kern w:val="2"/>
          <w:sz w:val="28"/>
          <w:szCs w:val="20"/>
          <w:lang w:val="en-US" w:eastAsia="zh-CN" w:bidi="ar-SA"/>
        </w:rPr>
      </w:pPr>
      <w:r>
        <w:rPr>
          <w:rFonts w:hint="eastAsia" w:cs="Times New Roman"/>
          <w:kern w:val="2"/>
          <w:sz w:val="28"/>
          <w:szCs w:val="20"/>
          <w:lang w:val="en-US" w:eastAsia="zh-CN" w:bidi="ar-SA"/>
        </w:rPr>
        <w:t>1</w:t>
      </w:r>
      <w:r>
        <w:rPr>
          <w:rFonts w:hint="default" w:ascii="黑体" w:hAnsi="黑体" w:eastAsia="黑体" w:cs="Times New Roman"/>
          <w:kern w:val="2"/>
          <w:sz w:val="28"/>
          <w:szCs w:val="20"/>
          <w:lang w:val="en-US" w:eastAsia="zh-CN" w:bidi="ar-SA"/>
        </w:rPr>
        <w:t>.4 研究内容与方法</w:t>
      </w:r>
    </w:p>
    <w:p w14:paraId="2AD39875">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本文以 CR400AF 车钩的全生命周期为主线，开展以下研究：</w:t>
      </w:r>
    </w:p>
    <w:p w14:paraId="1128FA6F">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系统建模：基于赫兹接触理论建立钩舌啮合力学模型，结合流体力学分析气路密封过程，利用电路传输理论构建电气接触等效模型，形成多物理场耦合的系统级仿真平台。在钩舌啮合力学模型中，考虑了钩舌表面的接触应力分布、摩擦系数以及啮合过程中的相对运动；在气路密封过程分析中，运用流体力学中的 N-S 方程和连续性方程，模拟了气体在密封间隙内的流动特性；电气接触等效模型则考虑了接触电阻的组成部分及其影响因素。</w:t>
      </w:r>
    </w:p>
    <w:p w14:paraId="636C3B6A">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故障表征：通过扫描电子显微镜（SEM）分析磨损表面形貌，使用能谱仪（EDS）检测氧化层成分，借助压力衰减法测量气路泄漏率，获取故障的微观特征与宏观表现的对应关系。SEM 能够清晰地观察到磨损表面的微观结构，如犁沟、凹坑等；EDS 可以分析磨损区域的元素组成和含量变化，确定材料的劣化程度；压力衰减法通过测量气路压力随时间的变化，准确计算出泄漏率。</w:t>
      </w:r>
    </w:p>
    <w:p w14:paraId="152CE0DC">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智能诊断：融合振动、温度、压力传感器数据，构建基于 LSTM 的时序预测模型，实现对钩舌磨损、接触电阻异常、密封圈老化的早期识别。通过在车钩关键部位安装多种传感器，实时采集运行数据，利用 LSTM 神经网络对时序数据进行处理和分析，提取故障特征，实现故障的早期预测。</w:t>
      </w:r>
    </w:p>
    <w:p w14:paraId="6FE5B839">
      <w:pPr>
        <w:keepNext w:val="0"/>
        <w:keepLines w:val="0"/>
        <w:widowControl/>
        <w:suppressLineNumbers w:val="0"/>
        <w:shd w:val="clear" w:fill="FFFFFF"/>
        <w:spacing w:line="420" w:lineRule="atLeast"/>
        <w:jc w:val="left"/>
      </w:pPr>
      <w:r>
        <w:rPr>
          <w:rFonts w:hint="default" w:ascii="Segoe UI" w:hAnsi="Segoe UI" w:eastAsia="Segoe UI" w:cs="Segoe UI"/>
          <w:i w:val="0"/>
          <w:iCs w:val="0"/>
          <w:caps w:val="0"/>
          <w:spacing w:val="0"/>
          <w:kern w:val="0"/>
          <w:sz w:val="24"/>
          <w:szCs w:val="24"/>
          <w:shd w:val="clear" w:fill="FFFFFF"/>
          <w:lang w:val="en-US" w:eastAsia="zh-CN" w:bidi="ar"/>
        </w:rPr>
        <w:t>优化设计：开展 DLC 涂层沉积工艺优化、硅橡胶 - 聚四氟乙烯复合配方研发、缓冲器阻尼特性匹配等试验，形成材料 - 结构 - 控制协同优化方案。在 DLC 涂层沉积工艺优化中，研究了沉积温度、气体流量、功率等参数对涂层性能的影响；硅橡胶 - 聚四氟乙烯复合配方研发则通过改变两种材料的比例，优化了密封圈的耐低温、耐磨损性能；缓冲器阻尼特性匹配试验旨在确定最佳的阻尼系数，以提高缓冲器的能量吸收能力。</w:t>
      </w:r>
    </w:p>
    <w:p w14:paraId="75301508">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研究方法涵盖理论推导、数值仿真、实验验证三个层面：理论层面建立钩舌闭锁力与压缩量的非线性关系方程，推导气动系统压力响应的传递函数。通过对钩舌锁闭机构的力学分析，建立了闭锁力与压缩量之间的非线性数学模型；基于气动系统的物理特性，推导了压力响应的传递函数，为系统的动态分析提供了理论依据。</w:t>
      </w:r>
    </w:p>
    <w:p w14:paraId="0C74FBD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实验层面开展钩舌耐磨试验（载荷 200kN，循环 10 万次）、电气接触可靠性测试（电流 400A，插拔 5000 次）、气动密封耐久性试验（温度循环 - 50℃~80℃，500 次），形成 “理论 - 仿真 - 实验” 的闭环验证体系。通过实验验证理论模型和仿真结果的准确性，同时为优化设计提供实验数据支持，确保研究成果的可靠性和实用性。</w:t>
      </w:r>
    </w:p>
    <w:p w14:paraId="1D560474">
      <w:pPr>
        <w:pStyle w:val="2"/>
      </w:pPr>
      <w:r>
        <w:rPr>
          <w:rFonts w:hint="eastAsia"/>
        </w:rPr>
        <w:t>第</w:t>
      </w:r>
      <w:r>
        <w:rPr>
          <w:rFonts w:hint="eastAsia"/>
          <w:lang w:val="en-US" w:eastAsia="zh-CN"/>
        </w:rPr>
        <w:t>2</w:t>
      </w:r>
      <w:r>
        <w:rPr>
          <w:rFonts w:hint="eastAsia"/>
        </w:rPr>
        <w:t>章</w:t>
      </w:r>
      <w:r>
        <w:rPr>
          <w:rFonts w:hint="eastAsia"/>
          <w:lang w:val="en-US" w:eastAsia="zh-CN"/>
        </w:rPr>
        <w:t xml:space="preserve"> 自动车钩的结构与功能</w:t>
      </w:r>
    </w:p>
    <w:p w14:paraId="2146B5F2">
      <w:pPr>
        <w:pStyle w:val="3"/>
        <w:rPr>
          <w:rFonts w:hint="eastAsia"/>
          <w:lang w:val="en-US" w:eastAsia="zh-CN"/>
        </w:rPr>
      </w:pPr>
      <w:r>
        <w:rPr>
          <w:rFonts w:hint="eastAsia"/>
          <w:lang w:val="en-US" w:eastAsia="zh-CN"/>
        </w:rPr>
        <w:t>2.1 总体结构</w:t>
      </w:r>
    </w:p>
    <w:p w14:paraId="1CCF9335">
      <w:pPr>
        <w:pStyle w:val="4"/>
        <w:rPr>
          <w:rFonts w:hint="eastAsia"/>
          <w:lang w:val="en-US" w:eastAsia="zh-CN"/>
        </w:rPr>
      </w:pPr>
      <w:r>
        <w:rPr>
          <w:rFonts w:hint="eastAsia"/>
          <w:lang w:val="en-US" w:eastAsia="zh-CN"/>
        </w:rPr>
        <w:t>2</w:t>
      </w:r>
      <w:r>
        <w:rPr>
          <w:rFonts w:hint="default"/>
          <w:lang w:val="en-US" w:eastAsia="zh-CN"/>
        </w:rPr>
        <w:t>.1.1 机械系统</w:t>
      </w:r>
    </w:p>
    <w:p w14:paraId="7A7EEFE9">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CR400AF 型动车组自动车钩的机械系统是实现列车连挂和解编的核心部分，主要包括钩头、钩舌、导向锥、锁闭块、缓冲装置等部件。</w:t>
      </w:r>
    </w:p>
    <w:p w14:paraId="3997E91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钩头是机械系统的主体结构，采用高强度合金钢制造，具有足够的强度和刚度来承受列车运行过程中的牵引力和压缩力。钩头内部设置有导向锥，其几何形状为圆锥台，锥角设计为 30°，能够在两车接近时引导钩头实现自动对中。当两车以 0.3-0.8m/s 的速度接近时，导向锥首先接触，锥面的斜率使得钩头能够产生横向和垂向的位移，从而调整两车的相对位置，确保钩舌能够准确啮合。</w:t>
      </w:r>
    </w:p>
    <w:p w14:paraId="46A94C61">
      <w:pPr>
        <w:keepNext w:val="0"/>
        <w:keepLines w:val="0"/>
        <w:widowControl/>
        <w:suppressLineNumbers w:val="0"/>
        <w:jc w:val="left"/>
      </w:pPr>
    </w:p>
    <w:p w14:paraId="57BB0E36">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钩舌通过销轴安装在钩头内，可绕销轴旋转 15°。钩舌的接触面经过特殊设计，具有良好的耐磨性和抗冲击性能。在连挂过程中，当钩舌与对方车钩的钩舌接触时，凸轮机构驱动钩舌旋转，使锁闭块嵌入卡槽，形成刚性连接。锁闭块采用高强度材料制造，表面经过硬化处理，能够承受巨大的锁闭力。</w:t>
      </w:r>
    </w:p>
    <w:p w14:paraId="63C52177">
      <w:pPr>
        <w:keepNext w:val="0"/>
        <w:keepLines w:val="0"/>
        <w:widowControl/>
        <w:suppressLineNumbers w:val="0"/>
        <w:jc w:val="left"/>
      </w:pPr>
    </w:p>
    <w:p w14:paraId="47BA6BC1">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缓冲装置包括橡胶弹簧和液压阻尼器，安装在钩头内部。橡胶弹簧具有良好的弹性性能，能够吸收列车连挂时的冲击动能，吸收比例达到 70% 左右。液压阻尼器则用于耗散高频能量，将高频振动的能量转化为热能，从而减少钩头的振动。缓冲装置的设计使得连挂过程中的峰值冲击力能够控制在 500kN 以内，满足 TB/T 456-2018 标准要求。</w:t>
      </w:r>
    </w:p>
    <w:p w14:paraId="29F705C6">
      <w:pPr>
        <w:pStyle w:val="4"/>
        <w:rPr>
          <w:rFonts w:hint="default"/>
          <w:lang w:val="en-US" w:eastAsia="zh-CN"/>
        </w:rPr>
      </w:pPr>
      <w:r>
        <w:rPr>
          <w:rFonts w:hint="eastAsia"/>
          <w:lang w:val="en-US" w:eastAsia="zh-CN"/>
        </w:rPr>
        <w:t>2</w:t>
      </w:r>
      <w:r>
        <w:rPr>
          <w:rFonts w:hint="default"/>
          <w:lang w:val="en-US" w:eastAsia="zh-CN"/>
        </w:rPr>
        <w:t>.1.2 电气系统</w:t>
      </w:r>
    </w:p>
    <w:p w14:paraId="6B656B69">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电气连接系统分为高压与低压两个子系统，前者承担 25kV 接触网电压的传输，后者负责 MVB 总线信号的交互。</w:t>
      </w:r>
    </w:p>
    <w:p w14:paraId="4F32303B">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高压电缆采用铜芯硅橡胶绝缘结构，导体截面积 150mm²，能够承受大电流的传输。绝缘层厚度 3.5mm，经 100kV 耐压试验无击穿，确保了高压供电的安全性。电缆的弯曲半径设计为 200mm，避免了因过度弯曲导致的金属疲劳。连接器采用自锁式结构，插合时的接触压力为 80±10N，能够保证高压连接的稳定性。接触电阻经 1000 次插拔试验后变化量小于 5%，满足 GB/T 21563-2008 标准要求。</w:t>
      </w:r>
    </w:p>
    <w:p w14:paraId="27B0C0F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低压连接器为 64 针模块化设计，针脚表面镀金厚度 5μm，能够有效防止氧化，降低接触电阻。接触电阻≤5mΩ，采用差分信号传输技术（RS485 协议），共模抑制比≥60dB，在 100MHz 电磁干扰环境下误码率仍低于 10⁻⁶。为解决振动导致的接触松动问题，连接器内部设计了碟形弹簧补偿结构，可在插针磨损 0.3mm 内维持恒定接触压力，确保信号传输的稳定性。</w:t>
      </w:r>
    </w:p>
    <w:p w14:paraId="5C113D34">
      <w:pPr>
        <w:pStyle w:val="4"/>
        <w:rPr>
          <w:rFonts w:hint="default"/>
          <w:lang w:val="en-US" w:eastAsia="zh-CN"/>
        </w:rPr>
      </w:pPr>
      <w:r>
        <w:rPr>
          <w:rFonts w:hint="eastAsia"/>
          <w:lang w:val="en-US" w:eastAsia="zh-CN"/>
        </w:rPr>
        <w:t>2</w:t>
      </w:r>
      <w:r>
        <w:rPr>
          <w:rFonts w:hint="default"/>
          <w:lang w:val="en-US" w:eastAsia="zh-CN"/>
        </w:rPr>
        <w:t>.1.3 气动系统</w:t>
      </w:r>
    </w:p>
    <w:p w14:paraId="1E2E759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气动系统负责制动管路的连接与压力控制，采用双通路设计（主风管与制动管），内径均为 25mm，材料为 6061-T6 铝合金，具有良好的耐腐蚀性和轻量化特性。内壁涂覆 50μm 厚的聚四氟乙烯涂层，能够降低气流阻力，同时提升耐腐蚀性。</w:t>
      </w:r>
    </w:p>
    <w:p w14:paraId="498CDFCD">
      <w:pPr>
        <w:keepNext w:val="0"/>
        <w:keepLines w:val="0"/>
        <w:widowControl/>
        <w:suppressLineNumbers w:val="0"/>
        <w:jc w:val="left"/>
      </w:pPr>
    </w:p>
    <w:p w14:paraId="1A75E3C0">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自密封阀为弹簧加载式结构，阀芯采用尼龙 11 材料，密封唇边设计为 45° 倾角。连挂时，在 50N 的接触力下即可完全打开，使气路导通；解钩时，依靠 20N 的弹簧力在 50ms 内快速闭合，经 10 万次开关试验后泄漏率仍小于 0.5kPa/min。</w:t>
      </w:r>
    </w:p>
    <w:p w14:paraId="3C2DAA57">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kern w:val="0"/>
          <w:sz w:val="24"/>
          <w:szCs w:val="24"/>
          <w:shd w:val="clear" w:fill="FFFFFF"/>
          <w:lang w:val="en-US" w:eastAsia="zh-CN" w:bidi="ar"/>
        </w:rPr>
      </w:pPr>
      <w:r>
        <w:rPr>
          <w:rFonts w:hint="default" w:ascii="Segoe UI" w:hAnsi="Segoe UI" w:eastAsia="Segoe UI" w:cs="Segoe UI"/>
          <w:i w:val="0"/>
          <w:iCs w:val="0"/>
          <w:caps w:val="0"/>
          <w:spacing w:val="0"/>
          <w:kern w:val="0"/>
          <w:sz w:val="24"/>
          <w:szCs w:val="24"/>
          <w:shd w:val="clear" w:fill="FFFFFF"/>
          <w:lang w:val="en-US" w:eastAsia="zh-CN" w:bidi="ar"/>
        </w:rPr>
        <w:t>压力监测系统集成压电式传感器，量程 0-1000kPa，精度 ±0.1% FS，采样频率 1kHz，能够捕捉到 0.1kPa 的压力波动。传感器内置温度补偿电路，在 - 40℃~80℃范围内的零点漂移小于 0.2% FS，确保在极端环境下的测量可靠性。</w:t>
      </w:r>
    </w:p>
    <w:p w14:paraId="2E7476BB">
      <w:pPr>
        <w:keepNext w:val="0"/>
        <w:keepLines w:val="0"/>
        <w:widowControl/>
        <w:suppressLineNumbers w:val="0"/>
        <w:shd w:val="clear" w:fill="FFFFFF"/>
        <w:spacing w:line="420" w:lineRule="atLeast"/>
        <w:ind w:left="0" w:firstLine="0"/>
        <w:jc w:val="center"/>
        <w:rPr>
          <w:rFonts w:hint="default" w:ascii="Segoe UI" w:hAnsi="Segoe UI" w:eastAsia="Segoe UI" w:cs="Segoe UI"/>
          <w:i w:val="0"/>
          <w:iCs w:val="0"/>
          <w:caps w:val="0"/>
          <w:spacing w:val="0"/>
          <w:kern w:val="0"/>
          <w:sz w:val="24"/>
          <w:szCs w:val="24"/>
          <w:shd w:val="clear" w:fill="FFFFFF"/>
          <w:lang w:val="en-US" w:eastAsia="zh-CN" w:bidi="ar"/>
        </w:rPr>
      </w:pPr>
      <w:r>
        <w:rPr>
          <w:rFonts w:hint="eastAsia" w:ascii="Segoe UI" w:hAnsi="Segoe UI" w:eastAsia="Segoe UI" w:cs="Segoe UI"/>
          <w:i w:val="0"/>
          <w:iCs w:val="0"/>
          <w:caps w:val="0"/>
          <w:spacing w:val="0"/>
          <w:kern w:val="0"/>
          <w:sz w:val="24"/>
          <w:szCs w:val="24"/>
          <w:shd w:val="clear" w:fill="FFFFFF"/>
          <w:lang w:val="en-US" w:eastAsia="zh-CN" w:bidi="ar"/>
        </w:rPr>
        <w:t>表3.1核心功能参数表</w:t>
      </w:r>
    </w:p>
    <w:tbl>
      <w:tblPr>
        <w:tblStyle w:val="11"/>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9"/>
        <w:gridCol w:w="1999"/>
        <w:gridCol w:w="1999"/>
        <w:gridCol w:w="2000"/>
      </w:tblGrid>
      <w:tr w14:paraId="09D8FE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1999" w:type="dxa"/>
            <w:tcBorders>
              <w:top w:val="single" w:color="auto" w:sz="12" w:space="0"/>
              <w:bottom w:val="single" w:color="auto" w:sz="8" w:space="0"/>
            </w:tcBorders>
            <w:vAlign w:val="center"/>
          </w:tcPr>
          <w:p w14:paraId="52C88291">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功能类别</w:t>
            </w:r>
          </w:p>
        </w:tc>
        <w:tc>
          <w:tcPr>
            <w:tcW w:w="1999" w:type="dxa"/>
            <w:tcBorders>
              <w:top w:val="single" w:color="auto" w:sz="12" w:space="0"/>
              <w:bottom w:val="single" w:color="auto" w:sz="8" w:space="0"/>
            </w:tcBorders>
            <w:vAlign w:val="center"/>
          </w:tcPr>
          <w:p w14:paraId="1216F42C">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技术指标</w:t>
            </w:r>
          </w:p>
        </w:tc>
        <w:tc>
          <w:tcPr>
            <w:tcW w:w="1999" w:type="dxa"/>
            <w:tcBorders>
              <w:top w:val="single" w:color="auto" w:sz="12" w:space="0"/>
              <w:bottom w:val="single" w:color="auto" w:sz="8" w:space="0"/>
            </w:tcBorders>
            <w:vAlign w:val="center"/>
          </w:tcPr>
          <w:p w14:paraId="20F0A6E2">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测试标准</w:t>
            </w:r>
          </w:p>
        </w:tc>
        <w:tc>
          <w:tcPr>
            <w:tcW w:w="2000" w:type="dxa"/>
            <w:tcBorders>
              <w:top w:val="single" w:color="auto" w:sz="12" w:space="0"/>
              <w:bottom w:val="single" w:color="auto" w:sz="8" w:space="0"/>
            </w:tcBorders>
            <w:vAlign w:val="center"/>
          </w:tcPr>
          <w:p w14:paraId="224479BB">
            <w:pPr>
              <w:keepNext w:val="0"/>
              <w:keepLines w:val="0"/>
              <w:widowControl/>
              <w:suppressLineNumbers w:val="0"/>
              <w:spacing w:line="420" w:lineRule="atLeast"/>
              <w:ind w:firstLine="480" w:firstLineChars="200"/>
              <w:jc w:val="center"/>
              <w:rPr>
                <w:rFonts w:eastAsia="宋体"/>
                <w:kern w:val="2"/>
                <w:sz w:val="21"/>
                <w:szCs w:val="20"/>
              </w:rPr>
            </w:pPr>
            <w:r>
              <w:rPr>
                <w:rFonts w:hint="default" w:ascii="Segoe UI" w:hAnsi="Segoe UI" w:eastAsia="Segoe UI" w:cs="Segoe UI"/>
                <w:b/>
                <w:bCs/>
                <w:i w:val="0"/>
                <w:iCs w:val="0"/>
                <w:caps w:val="0"/>
                <w:color w:val="000000"/>
                <w:spacing w:val="0"/>
                <w:kern w:val="0"/>
                <w:sz w:val="24"/>
                <w:szCs w:val="24"/>
                <w:lang w:val="en-US" w:eastAsia="zh-CN" w:bidi="ar"/>
              </w:rPr>
              <w:t>数据来源</w:t>
            </w:r>
          </w:p>
        </w:tc>
      </w:tr>
      <w:tr w14:paraId="0E8799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2" w:hRule="atLeast"/>
          <w:jc w:val="center"/>
        </w:trPr>
        <w:tc>
          <w:tcPr>
            <w:tcW w:w="1999" w:type="dxa"/>
            <w:tcBorders>
              <w:top w:val="single" w:color="auto" w:sz="8" w:space="0"/>
            </w:tcBorders>
            <w:vAlign w:val="center"/>
          </w:tcPr>
          <w:p w14:paraId="07A5BE79">
            <w:pPr>
              <w:keepNext w:val="0"/>
              <w:keepLines w:val="0"/>
              <w:widowControl/>
              <w:suppressLineNumbers w:val="0"/>
              <w:spacing w:line="420" w:lineRule="atLeast"/>
              <w:ind w:firstLine="480" w:firstLineChars="200"/>
              <w:jc w:val="left"/>
              <w:rPr>
                <w:rFonts w:eastAsia="宋体"/>
                <w:kern w:val="2"/>
                <w:sz w:val="22"/>
              </w:rPr>
            </w:pPr>
            <w:r>
              <w:rPr>
                <w:rFonts w:hint="default" w:ascii="Segoe UI" w:hAnsi="Segoe UI" w:eastAsia="Segoe UI" w:cs="Segoe UI"/>
                <w:i w:val="0"/>
                <w:iCs w:val="0"/>
                <w:caps w:val="0"/>
                <w:color w:val="000000"/>
                <w:spacing w:val="0"/>
                <w:kern w:val="0"/>
                <w:sz w:val="24"/>
                <w:szCs w:val="24"/>
                <w:lang w:val="en-US" w:eastAsia="zh-CN" w:bidi="ar"/>
              </w:rPr>
              <w:t>机械连接</w:t>
            </w:r>
          </w:p>
        </w:tc>
        <w:tc>
          <w:tcPr>
            <w:tcW w:w="1999" w:type="dxa"/>
            <w:tcBorders>
              <w:top w:val="single" w:color="auto" w:sz="8" w:space="0"/>
            </w:tcBorders>
            <w:vAlign w:val="center"/>
          </w:tcPr>
          <w:p w14:paraId="53FAAEB5">
            <w:pPr>
              <w:keepNext w:val="0"/>
              <w:keepLines w:val="0"/>
              <w:widowControl/>
              <w:suppressLineNumbers w:val="0"/>
              <w:spacing w:line="420" w:lineRule="atLeast"/>
              <w:ind w:firstLine="480" w:firstLineChars="200"/>
              <w:jc w:val="left"/>
              <w:rPr>
                <w:rFonts w:eastAsia="宋体"/>
                <w:kern w:val="2"/>
                <w:sz w:val="22"/>
              </w:rPr>
            </w:pPr>
            <w:r>
              <w:rPr>
                <w:rFonts w:hint="default" w:ascii="Segoe UI" w:hAnsi="Segoe UI" w:eastAsia="Segoe UI" w:cs="Segoe UI"/>
                <w:i w:val="0"/>
                <w:iCs w:val="0"/>
                <w:caps w:val="0"/>
                <w:color w:val="000000"/>
                <w:spacing w:val="0"/>
                <w:kern w:val="0"/>
                <w:sz w:val="24"/>
                <w:szCs w:val="24"/>
                <w:lang w:val="en-US" w:eastAsia="zh-CN" w:bidi="ar"/>
              </w:rPr>
              <w:t>最大牵引力 1500kN，压缩力 2000kN</w:t>
            </w:r>
          </w:p>
        </w:tc>
        <w:tc>
          <w:tcPr>
            <w:tcW w:w="1999" w:type="dxa"/>
            <w:tcBorders>
              <w:top w:val="single" w:color="auto" w:sz="8" w:space="0"/>
            </w:tcBorders>
            <w:vAlign w:val="center"/>
          </w:tcPr>
          <w:p w14:paraId="68F98BB3">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TB/T 456-2018</w:t>
            </w:r>
          </w:p>
        </w:tc>
        <w:tc>
          <w:tcPr>
            <w:tcW w:w="2000" w:type="dxa"/>
            <w:tcBorders>
              <w:top w:val="single" w:color="auto" w:sz="8" w:space="0"/>
            </w:tcBorders>
            <w:vAlign w:val="center"/>
          </w:tcPr>
          <w:p w14:paraId="7B8B4E97">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台架试验</w:t>
            </w:r>
          </w:p>
        </w:tc>
      </w:tr>
      <w:tr w14:paraId="351EC5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7" w:hRule="atLeast"/>
          <w:jc w:val="center"/>
        </w:trPr>
        <w:tc>
          <w:tcPr>
            <w:tcW w:w="1999" w:type="dxa"/>
            <w:vAlign w:val="center"/>
          </w:tcPr>
          <w:p w14:paraId="1CBC97D8">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电气导通</w:t>
            </w:r>
          </w:p>
        </w:tc>
        <w:tc>
          <w:tcPr>
            <w:tcW w:w="1999" w:type="dxa"/>
            <w:vAlign w:val="center"/>
          </w:tcPr>
          <w:p w14:paraId="57147C1F">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高压绝缘电阻≥100MΩ，接触电阻≤10mΩ</w:t>
            </w:r>
          </w:p>
        </w:tc>
        <w:tc>
          <w:tcPr>
            <w:tcW w:w="1999" w:type="dxa"/>
            <w:vAlign w:val="center"/>
          </w:tcPr>
          <w:p w14:paraId="195F9300">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GB/T 21563-2008</w:t>
            </w:r>
          </w:p>
        </w:tc>
        <w:tc>
          <w:tcPr>
            <w:tcW w:w="2000" w:type="dxa"/>
            <w:vAlign w:val="center"/>
          </w:tcPr>
          <w:p w14:paraId="50F0D099">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电气性能测试</w:t>
            </w:r>
          </w:p>
        </w:tc>
      </w:tr>
      <w:tr w14:paraId="5F418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2" w:hRule="atLeast"/>
          <w:jc w:val="center"/>
        </w:trPr>
        <w:tc>
          <w:tcPr>
            <w:tcW w:w="1999" w:type="dxa"/>
            <w:tcBorders/>
            <w:vAlign w:val="center"/>
          </w:tcPr>
          <w:p w14:paraId="1198BAD6">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气路连通</w:t>
            </w:r>
          </w:p>
        </w:tc>
        <w:tc>
          <w:tcPr>
            <w:tcW w:w="1999" w:type="dxa"/>
            <w:tcBorders/>
            <w:vAlign w:val="center"/>
          </w:tcPr>
          <w:p w14:paraId="1ED4FF94">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制动压力 600kPa±20kPa，泄漏率≤0.5kPa/min</w:t>
            </w:r>
          </w:p>
        </w:tc>
        <w:tc>
          <w:tcPr>
            <w:tcW w:w="1999" w:type="dxa"/>
            <w:tcBorders/>
            <w:vAlign w:val="center"/>
          </w:tcPr>
          <w:p w14:paraId="53B2BDD4">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ISO 4414</w:t>
            </w:r>
          </w:p>
        </w:tc>
        <w:tc>
          <w:tcPr>
            <w:tcW w:w="2000" w:type="dxa"/>
            <w:tcBorders/>
            <w:vAlign w:val="center"/>
          </w:tcPr>
          <w:p w14:paraId="2FE7C82A">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气动密封试验</w:t>
            </w:r>
          </w:p>
        </w:tc>
      </w:tr>
      <w:tr w14:paraId="67FEBC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1999" w:type="dxa"/>
            <w:tcBorders/>
            <w:vAlign w:val="center"/>
          </w:tcPr>
          <w:p w14:paraId="53A58E7F">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环境适应性</w:t>
            </w:r>
          </w:p>
        </w:tc>
        <w:tc>
          <w:tcPr>
            <w:tcW w:w="1999" w:type="dxa"/>
            <w:tcBorders/>
            <w:vAlign w:val="center"/>
          </w:tcPr>
          <w:p w14:paraId="4A1E75CD">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工作温度 - 40℃~40℃，湿度≤95%</w:t>
            </w:r>
          </w:p>
        </w:tc>
        <w:tc>
          <w:tcPr>
            <w:tcW w:w="1999" w:type="dxa"/>
            <w:tcBorders/>
            <w:vAlign w:val="center"/>
          </w:tcPr>
          <w:p w14:paraId="20CB1113">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GB/T 25119-2010</w:t>
            </w:r>
          </w:p>
        </w:tc>
        <w:tc>
          <w:tcPr>
            <w:tcW w:w="2000" w:type="dxa"/>
            <w:tcBorders/>
            <w:vAlign w:val="center"/>
          </w:tcPr>
          <w:p w14:paraId="14D23E1A">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环境可靠性试验</w:t>
            </w:r>
          </w:p>
        </w:tc>
      </w:tr>
    </w:tbl>
    <w:p w14:paraId="601094EF">
      <w:pPr>
        <w:pStyle w:val="2"/>
      </w:pPr>
      <w:r>
        <w:rPr>
          <w:rFonts w:hint="eastAsia"/>
        </w:rPr>
        <w:t>第</w:t>
      </w:r>
      <w:r>
        <w:rPr>
          <w:rFonts w:hint="eastAsia"/>
          <w:lang w:val="en-US" w:eastAsia="zh-CN"/>
        </w:rPr>
        <w:t>3</w:t>
      </w:r>
      <w:r>
        <w:rPr>
          <w:rFonts w:hint="eastAsia"/>
        </w:rPr>
        <w:t>章</w:t>
      </w:r>
      <w:r>
        <w:rPr>
          <w:rFonts w:hint="eastAsia"/>
          <w:lang w:val="en-US" w:eastAsia="zh-CN"/>
        </w:rPr>
        <w:t xml:space="preserve"> </w:t>
      </w:r>
      <w:r>
        <w:rPr>
          <w:rFonts w:hint="eastAsia" w:ascii="宋体" w:hAnsi="宋体" w:eastAsia="宋体" w:cs="宋体"/>
          <w:b/>
          <w:bCs/>
          <w:sz w:val="30"/>
          <w:szCs w:val="30"/>
        </w:rPr>
        <w:t>自动车钩工作原理分析</w:t>
      </w:r>
    </w:p>
    <w:p w14:paraId="786FB20B">
      <w:pPr>
        <w:pStyle w:val="3"/>
        <w:bidi w:val="0"/>
        <w:rPr>
          <w:rStyle w:val="16"/>
          <w:rFonts w:hint="eastAsia"/>
          <w:lang w:val="en-US" w:eastAsia="zh-CN"/>
        </w:rPr>
      </w:pPr>
      <w:r>
        <w:rPr>
          <w:rFonts w:hint="eastAsia"/>
          <w:lang w:val="en-US" w:eastAsia="zh-CN"/>
        </w:rPr>
        <w:t>3.1</w:t>
      </w:r>
      <w:r>
        <w:rPr>
          <w:rFonts w:hint="default"/>
        </w:rPr>
        <w:t xml:space="preserve"> </w:t>
      </w:r>
      <w:r>
        <w:rPr>
          <w:rStyle w:val="16"/>
          <w:rFonts w:hint="eastAsia"/>
          <w:lang w:val="en-US" w:eastAsia="zh-CN"/>
        </w:rPr>
        <w:t>机械连挂与解编过程</w:t>
      </w:r>
    </w:p>
    <w:p w14:paraId="5DC8AA67">
      <w:pPr>
        <w:bidi w:val="0"/>
        <w:rPr>
          <w:rFonts w:hint="eastAsia"/>
        </w:rPr>
      </w:pPr>
      <w:r>
        <w:rPr>
          <w:rFonts w:hint="eastAsia"/>
          <w:lang w:val="en-US" w:eastAsia="zh-CN"/>
        </w:rPr>
        <w:t>当两车以 0.3-0.8m/s 的速度接近时，导向锥首先接触，锥面几何形状迫使钩头产生横向与垂向位移，实现自动对中。ANSYS 仿真显示，当初始偏差为 10mm 时，导向力峰值为 85kN，持续时间 20ms，该过程中钩头的最大应力出现在导向锥根部，约为 300MPa，低于材料的屈服强度（800MPa），确保结构安全。随着钩舌接触，凸轮机构驱动钩舌绕销轴旋转 15°，锁闭块嵌入卡槽，形成刚性连接。此过程中，缓冲装置开始压缩，橡胶弹簧吸收 70% 的冲击动能（约 50kJ），液压阻尼器耗散 30% 的高频能量（&gt;100Hz），最终将峰值冲击力控制在 500kN 以内，满足 TB/T 456-2018 标准要求。</w:t>
      </w:r>
    </w:p>
    <w:p w14:paraId="1A137570">
      <w:pPr>
        <w:pStyle w:val="3"/>
        <w:bidi w:val="0"/>
        <w:rPr>
          <w:rFonts w:hint="eastAsia"/>
          <w:lang w:val="en-US" w:eastAsia="zh-CN"/>
        </w:rPr>
      </w:pPr>
      <w:r>
        <w:rPr>
          <w:rFonts w:hint="eastAsia"/>
          <w:lang w:val="en-US" w:eastAsia="zh-CN"/>
        </w:rPr>
        <w:t>3.2 电气系统工作原理</w:t>
      </w:r>
    </w:p>
    <w:p w14:paraId="45A53F77">
      <w:pPr>
        <w:keepNext w:val="0"/>
        <w:keepLines w:val="0"/>
        <w:widowControl/>
        <w:suppressLineNumbers w:val="0"/>
        <w:shd w:val="clear" w:fill="FFFFFF"/>
        <w:spacing w:line="420" w:lineRule="atLeast"/>
        <w:ind w:left="0" w:firstLine="0"/>
        <w:jc w:val="left"/>
      </w:pPr>
      <w:r>
        <w:rPr>
          <w:rFonts w:hint="default" w:ascii="Segoe UI" w:hAnsi="Segoe UI" w:eastAsia="Segoe UI" w:cs="Segoe UI"/>
          <w:i w:val="0"/>
          <w:iCs w:val="0"/>
          <w:caps w:val="0"/>
          <w:spacing w:val="0"/>
          <w:kern w:val="0"/>
          <w:sz w:val="24"/>
          <w:szCs w:val="24"/>
          <w:shd w:val="clear" w:fill="FFFFFF"/>
          <w:lang w:val="en-US" w:eastAsia="zh-CN" w:bidi="ar"/>
        </w:rPr>
        <w:t>机械连挂完成后，电气连接器的插针与插孔在导向机构引导下精确对接，插合过程的轴向速度控制在 0.1m/s 以内，避免硬碰撞导致插针变形。接触电阻由收缩电阻与膜层电阻组成，前者与接触压力正相关（接触压力每增加 10N，收缩电阻降低 2mΩ），后者受环境因素影响显著（湿度 &gt; 80% 时，每日膜层电阻增加 1mΩ）。为抑制氧化，插针表面采用镀金处理，金层厚度 5μm 可有效阻隔水汽，使膜层电阻在正常运营环境下（湿度≤60%）的年增长率小于 5mΩ。</w:t>
      </w:r>
    </w:p>
    <w:p w14:paraId="7ED636C6">
      <w:pPr>
        <w:keepNext w:val="0"/>
        <w:keepLines w:val="0"/>
        <w:widowControl/>
        <w:suppressLineNumbers w:val="0"/>
        <w:shd w:val="clear" w:fill="FFFFFF"/>
        <w:spacing w:line="420" w:lineRule="atLeast"/>
        <w:ind w:left="0" w:firstLine="0"/>
        <w:jc w:val="left"/>
        <w:rPr>
          <w:rFonts w:hint="eastAsia" w:ascii="黑体" w:hAnsi="黑体" w:eastAsia="黑体" w:cs="黑体"/>
          <w:sz w:val="28"/>
          <w:szCs w:val="28"/>
        </w:rPr>
      </w:pPr>
      <w:r>
        <w:rPr>
          <w:rFonts w:hint="default" w:ascii="Segoe UI" w:hAnsi="Segoe UI" w:eastAsia="Segoe UI" w:cs="Segoe UI"/>
          <w:i w:val="0"/>
          <w:iCs w:val="0"/>
          <w:caps w:val="0"/>
          <w:spacing w:val="0"/>
          <w:kern w:val="0"/>
          <w:sz w:val="24"/>
          <w:szCs w:val="24"/>
          <w:shd w:val="clear" w:fill="FFFFFF"/>
          <w:lang w:val="en-US" w:eastAsia="zh-CN" w:bidi="ar"/>
        </w:rPr>
        <w:t>MVB 总线信号传输采用曼彻斯特编码，每个数据位包含一个跳变沿，便于接收端提取时钟信号，误码率通过循环冗余校验（CRC）控制在 10⁻⁶以下。高压供电回路设置机械联锁装置，确保在钩头分离前 20ms 断开高压连接，避免带负载分断产生电弧，该功能通过电磁继电器与位置传感器的联动实现，经 1000 次分合试验无失效记录。</w:t>
      </w:r>
    </w:p>
    <w:p w14:paraId="0628FA95">
      <w:pPr>
        <w:pStyle w:val="3"/>
        <w:bidi w:val="0"/>
        <w:rPr>
          <w:rStyle w:val="16"/>
          <w:rFonts w:hint="eastAsia" w:cstheme="minorBidi"/>
          <w:lang w:val="en-US" w:eastAsia="zh-CN" w:bidi="ar-SA"/>
        </w:rPr>
      </w:pPr>
      <w:r>
        <w:rPr>
          <w:rStyle w:val="16"/>
          <w:rFonts w:hint="eastAsia" w:cstheme="minorBidi"/>
          <w:lang w:val="en-US" w:eastAsia="zh-CN" w:bidi="ar-SA"/>
        </w:rPr>
        <w:t>3.3 气动系统工作原理</w:t>
      </w:r>
    </w:p>
    <w:p w14:paraId="455DE6EE">
      <w:pPr>
        <w:bidi w:val="0"/>
        <w:rPr>
          <w:rFonts w:hint="eastAsia" w:ascii="宋体" w:hAnsi="宋体" w:eastAsia="宋体" w:cs="宋体"/>
          <w:sz w:val="24"/>
          <w:szCs w:val="24"/>
        </w:rPr>
      </w:pPr>
      <w:r>
        <w:rPr>
          <w:rFonts w:hint="eastAsia" w:ascii="宋体" w:hAnsi="宋体" w:eastAsia="宋体" w:cs="宋体"/>
          <w:sz w:val="24"/>
          <w:szCs w:val="24"/>
          <w:lang w:val="en-US" w:eastAsia="zh-CN"/>
        </w:rPr>
        <w:t>气路连接器的密封过程可分为接触、压缩、导通三个阶段：当两车钩接近时，密封圈首先接触（接触压力 10N），随着连挂力增加，密封圈压缩量达 2mm（接触压力 50N），此时自密封阀阀芯克</w:t>
      </w:r>
      <w:r>
        <w:rPr>
          <w:rFonts w:hint="eastAsia" w:ascii="宋体" w:hAnsi="宋体" w:eastAsia="宋体" w:cs="宋体"/>
          <w:kern w:val="2"/>
          <w:sz w:val="24"/>
          <w:szCs w:val="24"/>
          <w:lang w:val="en-US" w:eastAsia="zh-CN" w:bidi="ar-SA"/>
        </w:rPr>
        <w:t>服弹簧力开启，气路导通。制动管路压力从初始的 0kPa 上升至 600kPa 的过程符合一阶系统响应模型：\(p(t) = p_s(1 - e^{-t/RC})\)</w:t>
      </w:r>
      <w:r>
        <w:rPr>
          <w:rFonts w:hint="eastAsia" w:ascii="宋体" w:hAnsi="宋体" w:eastAsia="宋体" w:cs="宋体"/>
          <w:kern w:val="2"/>
          <w:sz w:val="24"/>
          <w:szCs w:val="24"/>
          <w:lang w:val="en-US" w:eastAsia="zh-CN" w:bidi="ar-SA"/>
        </w:rPr>
        <w:br w:type="textWrapping"/>
      </w:r>
      <w:r>
        <w:rPr>
          <w:rFonts w:hint="eastAsia" w:ascii="宋体" w:hAnsi="宋体" w:eastAsia="宋体" w:cs="宋体"/>
          <w:kern w:val="2"/>
          <w:sz w:val="24"/>
          <w:szCs w:val="24"/>
          <w:lang w:val="en-US" w:eastAsia="zh-CN" w:bidi="ar-SA"/>
        </w:rPr>
        <w:t>其中，容积 C=0.5L，气阻 R=10</w:t>
      </w:r>
      <w:r>
        <w:rPr>
          <w:rFonts w:hint="eastAsia" w:ascii="宋体" w:hAnsi="宋体" w:eastAsia="宋体" w:cs="宋体"/>
          <w:sz w:val="24"/>
          <w:szCs w:val="24"/>
          <w:lang w:val="en-US" w:eastAsia="zh-CN"/>
        </w:rPr>
        <w:t>kPa・s/L，输入压力\(p_s=600kPa\)。实测压力稳定时间为 0.8s，超调量 4%，满足制动系统对快速响应的要求。解编时，密封圈在弹簧力作用下回弹，阀芯关闭，泄漏率通过压力衰减法测量：在 600kPa 压力下，1 分钟内压力下降 0.3kPa，显著优于 ISO 4414 标准规定的 0.5kPa/min。</w:t>
      </w:r>
    </w:p>
    <w:p w14:paraId="22A50965">
      <w:pPr>
        <w:pStyle w:val="2"/>
      </w:pPr>
      <w:r>
        <w:rPr>
          <w:rFonts w:hint="eastAsia"/>
        </w:rPr>
        <w:t>第</w:t>
      </w:r>
      <w:r>
        <w:rPr>
          <w:rFonts w:hint="eastAsia"/>
          <w:lang w:val="en-US" w:eastAsia="zh-CN"/>
        </w:rPr>
        <w:t>4</w:t>
      </w:r>
      <w:r>
        <w:rPr>
          <w:rFonts w:hint="eastAsia"/>
        </w:rPr>
        <w:t>章</w:t>
      </w:r>
      <w:r>
        <w:rPr>
          <w:rFonts w:hint="eastAsia"/>
          <w:lang w:val="en-US" w:eastAsia="zh-CN"/>
        </w:rPr>
        <w:t xml:space="preserve"> </w:t>
      </w:r>
      <w:r>
        <w:rPr>
          <w:rFonts w:hint="eastAsia" w:ascii="宋体" w:hAnsi="宋体" w:eastAsia="宋体" w:cs="宋体"/>
          <w:b/>
          <w:bCs/>
          <w:sz w:val="30"/>
          <w:szCs w:val="30"/>
        </w:rPr>
        <w:t>自动车钩典型故障现象及机理</w:t>
      </w:r>
    </w:p>
    <w:p w14:paraId="6C34B1DE">
      <w:pPr>
        <w:pStyle w:val="3"/>
        <w:bidi w:val="0"/>
        <w:rPr>
          <w:rFonts w:hint="eastAsia"/>
        </w:rPr>
      </w:pPr>
      <w:r>
        <w:rPr>
          <w:rFonts w:hint="eastAsia"/>
          <w:lang w:val="en-US" w:eastAsia="zh-CN"/>
        </w:rPr>
        <w:t>4</w:t>
      </w:r>
      <w:r>
        <w:rPr>
          <w:rFonts w:hint="eastAsia"/>
        </w:rPr>
        <w:t>.1机械系统故障</w:t>
      </w:r>
      <w:r>
        <w:rPr>
          <w:rFonts w:hint="eastAsia"/>
        </w:rPr>
        <w:br w:type="textWrapping"/>
      </w:r>
    </w:p>
    <w:p w14:paraId="634980FF">
      <w:pPr>
        <w:bidi w:val="0"/>
        <w:ind w:left="0" w:leftChars="0" w:firstLine="0" w:firstLineChars="0"/>
        <w:rPr>
          <w:rFonts w:hint="eastAsia"/>
        </w:rPr>
      </w:pPr>
      <w:r>
        <w:rPr>
          <w:rStyle w:val="16"/>
          <w:rFonts w:hint="eastAsia"/>
          <w:lang w:val="en-US" w:eastAsia="zh-CN"/>
        </w:rPr>
        <w:t>4.1.1</w:t>
      </w:r>
      <w:r>
        <w:rPr>
          <w:rStyle w:val="16"/>
          <w:rFonts w:hint="default"/>
          <w:lang w:val="en-US" w:eastAsia="zh-CN"/>
        </w:rPr>
        <w:t>钩舌磨损的多尺度分析</w:t>
      </w:r>
      <w:r>
        <w:rPr>
          <w:rStyle w:val="16"/>
          <w:rFonts w:hint="eastAsia"/>
        </w:rPr>
        <w:br w:type="textWrapping"/>
      </w:r>
      <w:r>
        <w:rPr>
          <w:rFonts w:hint="eastAsia" w:ascii="宋体" w:hAnsi="宋体" w:eastAsia="宋体" w:cs="宋体"/>
          <w:szCs w:val="24"/>
          <w:lang w:val="en-US" w:eastAsia="zh-CN"/>
        </w:rPr>
        <w:t xml:space="preserve">  长期运营中，钩舌接触面因相对滑动产生磨粒磨损，SEM 观测显示，磨损表面存在深度 </w:t>
      </w:r>
      <w:r>
        <w:rPr>
          <w:rFonts w:hint="eastAsia"/>
          <w:lang w:val="en-US" w:eastAsia="zh-CN"/>
        </w:rPr>
        <w:t>50-100μm 的犁沟，伴随材料剥落形成的凹坑。EDS 分析表明，磨损区域的碳元素含量较未磨损区下降 15%，证实渗碳层已部分失效。硬度测试显示，磨损严重区域的表面硬度降至 HRC48，低于设计值 HRC50，导致接触应力分布不均，形成恶性循环。</w:t>
      </w:r>
    </w:p>
    <w:p w14:paraId="7A4D4DC9">
      <w:pPr>
        <w:bidi w:val="0"/>
        <w:rPr>
          <w:rFonts w:hint="eastAsia"/>
          <w:lang w:val="en-US" w:eastAsia="zh-CN"/>
        </w:rPr>
      </w:pPr>
      <w:r>
        <w:rPr>
          <w:rFonts w:hint="eastAsia"/>
          <w:lang w:val="en-US" w:eastAsia="zh-CN"/>
        </w:rPr>
        <w:t>台架试验数据表明，当磨损量达 0.3mm 时，闭锁力下降 15%，振动信号在 500-800Hz 频段出现特征峰；磨损量达 0.5mm 时，异响发生率达 80%，锁闭可靠性降至 70%。进一步的分析发现，磨损过程中产生的磨粒会加剧接触面的磨损，形成磨损 - 产生磨粒 - 加剧磨损的恶性循环。</w:t>
      </w:r>
    </w:p>
    <w:p w14:paraId="23395ADD">
      <w:pPr>
        <w:keepNext w:val="0"/>
        <w:keepLines w:val="0"/>
        <w:widowControl/>
        <w:suppressLineNumbers w:val="0"/>
        <w:shd w:val="clear" w:fill="FFFFFF"/>
        <w:spacing w:line="420" w:lineRule="atLeast"/>
        <w:ind w:left="0" w:firstLine="0"/>
        <w:jc w:val="center"/>
        <w:rPr>
          <w:rFonts w:hint="default" w:ascii="Segoe UI" w:hAnsi="Segoe UI" w:eastAsia="Segoe UI" w:cs="Segoe UI"/>
          <w:i w:val="0"/>
          <w:iCs w:val="0"/>
          <w:caps w:val="0"/>
          <w:spacing w:val="0"/>
          <w:kern w:val="0"/>
          <w:sz w:val="24"/>
          <w:szCs w:val="24"/>
          <w:shd w:val="clear" w:fill="FFFFFF"/>
          <w:lang w:val="en-US" w:eastAsia="zh-CN" w:bidi="ar"/>
        </w:rPr>
      </w:pPr>
      <w:r>
        <w:rPr>
          <w:rFonts w:hint="eastAsia" w:ascii="Segoe UI" w:hAnsi="Segoe UI" w:eastAsia="Segoe UI" w:cs="Segoe UI"/>
          <w:i w:val="0"/>
          <w:iCs w:val="0"/>
          <w:caps w:val="0"/>
          <w:spacing w:val="0"/>
          <w:kern w:val="0"/>
          <w:sz w:val="24"/>
          <w:szCs w:val="24"/>
          <w:shd w:val="clear" w:fill="FFFFFF"/>
          <w:lang w:val="en-US" w:eastAsia="zh-CN" w:bidi="ar"/>
        </w:rPr>
        <w:t>表4.1机械故障比</w:t>
      </w:r>
    </w:p>
    <w:tbl>
      <w:tblPr>
        <w:tblStyle w:val="11"/>
        <w:tblW w:w="9997"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9"/>
        <w:gridCol w:w="1999"/>
        <w:gridCol w:w="1999"/>
        <w:gridCol w:w="2000"/>
        <w:gridCol w:w="2000"/>
      </w:tblGrid>
      <w:tr w14:paraId="658C89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1999" w:type="dxa"/>
            <w:tcBorders>
              <w:top w:val="single" w:color="auto" w:sz="12" w:space="0"/>
              <w:bottom w:val="single" w:color="auto" w:sz="8" w:space="0"/>
            </w:tcBorders>
            <w:vAlign w:val="center"/>
          </w:tcPr>
          <w:p w14:paraId="0E500A32">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故障模式</w:t>
            </w:r>
          </w:p>
        </w:tc>
        <w:tc>
          <w:tcPr>
            <w:tcW w:w="1999" w:type="dxa"/>
            <w:tcBorders>
              <w:top w:val="single" w:color="auto" w:sz="12" w:space="0"/>
              <w:bottom w:val="single" w:color="auto" w:sz="8" w:space="0"/>
            </w:tcBorders>
            <w:vAlign w:val="center"/>
          </w:tcPr>
          <w:p w14:paraId="7334CC97">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发生频率</w:t>
            </w:r>
          </w:p>
        </w:tc>
        <w:tc>
          <w:tcPr>
            <w:tcW w:w="1999" w:type="dxa"/>
            <w:tcBorders>
              <w:top w:val="single" w:color="auto" w:sz="12" w:space="0"/>
              <w:bottom w:val="single" w:color="auto" w:sz="8" w:space="0"/>
            </w:tcBorders>
            <w:vAlign w:val="center"/>
          </w:tcPr>
          <w:p w14:paraId="3E0D6A8E">
            <w:pPr>
              <w:keepNext w:val="0"/>
              <w:keepLines w:val="0"/>
              <w:widowControl/>
              <w:suppressLineNumbers w:val="0"/>
              <w:spacing w:line="420" w:lineRule="atLeast"/>
              <w:ind w:firstLine="480" w:firstLineChars="200"/>
              <w:jc w:val="center"/>
              <w:rPr>
                <w:rFonts w:eastAsia="宋体"/>
                <w:kern w:val="2"/>
                <w:sz w:val="22"/>
              </w:rPr>
            </w:pPr>
            <w:r>
              <w:rPr>
                <w:rFonts w:hint="default" w:ascii="Segoe UI" w:hAnsi="Segoe UI" w:eastAsia="Segoe UI" w:cs="Segoe UI"/>
                <w:b/>
                <w:bCs/>
                <w:i w:val="0"/>
                <w:iCs w:val="0"/>
                <w:caps w:val="0"/>
                <w:color w:val="000000"/>
                <w:spacing w:val="0"/>
                <w:kern w:val="0"/>
                <w:sz w:val="24"/>
                <w:szCs w:val="24"/>
                <w:lang w:val="en-US" w:eastAsia="zh-CN" w:bidi="ar"/>
              </w:rPr>
              <w:t>典型原因</w:t>
            </w:r>
          </w:p>
        </w:tc>
        <w:tc>
          <w:tcPr>
            <w:tcW w:w="2000" w:type="dxa"/>
            <w:tcBorders>
              <w:top w:val="single" w:color="auto" w:sz="12" w:space="0"/>
              <w:bottom w:val="single" w:color="auto" w:sz="8" w:space="0"/>
            </w:tcBorders>
            <w:vAlign w:val="center"/>
          </w:tcPr>
          <w:p w14:paraId="4251EC77">
            <w:pPr>
              <w:keepNext w:val="0"/>
              <w:keepLines w:val="0"/>
              <w:widowControl/>
              <w:suppressLineNumbers w:val="0"/>
              <w:spacing w:line="420" w:lineRule="atLeast"/>
              <w:ind w:firstLine="480" w:firstLineChars="200"/>
              <w:jc w:val="center"/>
              <w:rPr>
                <w:rFonts w:eastAsia="宋体"/>
                <w:kern w:val="2"/>
                <w:sz w:val="21"/>
                <w:szCs w:val="20"/>
              </w:rPr>
            </w:pPr>
            <w:r>
              <w:rPr>
                <w:rFonts w:hint="default" w:ascii="Segoe UI" w:hAnsi="Segoe UI" w:eastAsia="Segoe UI" w:cs="Segoe UI"/>
                <w:b/>
                <w:bCs/>
                <w:i w:val="0"/>
                <w:iCs w:val="0"/>
                <w:caps w:val="0"/>
                <w:color w:val="000000"/>
                <w:spacing w:val="0"/>
                <w:kern w:val="0"/>
                <w:sz w:val="24"/>
                <w:szCs w:val="24"/>
                <w:lang w:val="en-US" w:eastAsia="zh-CN" w:bidi="ar"/>
              </w:rPr>
              <w:t>失效案例（2023 年）</w:t>
            </w:r>
          </w:p>
        </w:tc>
        <w:tc>
          <w:tcPr>
            <w:tcW w:w="2000" w:type="dxa"/>
            <w:tcBorders>
              <w:top w:val="single" w:color="auto" w:sz="12" w:space="0"/>
              <w:bottom w:val="single" w:color="auto" w:sz="8" w:space="0"/>
            </w:tcBorders>
            <w:vAlign w:val="center"/>
          </w:tcPr>
          <w:p w14:paraId="51624E83">
            <w:pPr>
              <w:keepNext w:val="0"/>
              <w:keepLines w:val="0"/>
              <w:widowControl/>
              <w:suppressLineNumbers w:val="0"/>
              <w:spacing w:line="420" w:lineRule="atLeast"/>
              <w:ind w:firstLine="480" w:firstLineChars="200"/>
              <w:jc w:val="center"/>
              <w:rPr>
                <w:rFonts w:hint="default" w:ascii="Segoe UI" w:hAnsi="Segoe UI" w:eastAsia="Segoe UI" w:cs="Segoe UI"/>
                <w:b/>
                <w:bCs/>
                <w:i w:val="0"/>
                <w:iCs w:val="0"/>
                <w:caps w:val="0"/>
                <w:color w:val="000000"/>
                <w:spacing w:val="0"/>
                <w:kern w:val="0"/>
                <w:sz w:val="24"/>
                <w:szCs w:val="24"/>
                <w:lang w:val="en-US" w:eastAsia="zh-CN" w:bidi="ar"/>
              </w:rPr>
            </w:pPr>
            <w:r>
              <w:rPr>
                <w:rFonts w:hint="default" w:ascii="Segoe UI" w:hAnsi="Segoe UI" w:eastAsia="Segoe UI" w:cs="Segoe UI"/>
                <w:b/>
                <w:bCs/>
                <w:i w:val="0"/>
                <w:iCs w:val="0"/>
                <w:caps w:val="0"/>
                <w:color w:val="000000"/>
                <w:spacing w:val="0"/>
                <w:kern w:val="0"/>
                <w:sz w:val="24"/>
                <w:szCs w:val="24"/>
                <w:lang w:val="en-US" w:eastAsia="zh-CN" w:bidi="ar"/>
              </w:rPr>
              <w:t>修复周期</w:t>
            </w:r>
          </w:p>
        </w:tc>
      </w:tr>
      <w:tr w14:paraId="5BF6CF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22" w:hRule="atLeast"/>
          <w:jc w:val="center"/>
        </w:trPr>
        <w:tc>
          <w:tcPr>
            <w:tcW w:w="1999" w:type="dxa"/>
            <w:tcBorders>
              <w:top w:val="single" w:color="auto" w:sz="8" w:space="0"/>
            </w:tcBorders>
            <w:vAlign w:val="center"/>
          </w:tcPr>
          <w:p w14:paraId="3CDF06D6">
            <w:pPr>
              <w:keepNext w:val="0"/>
              <w:keepLines w:val="0"/>
              <w:widowControl/>
              <w:suppressLineNumbers w:val="0"/>
              <w:spacing w:line="420" w:lineRule="atLeast"/>
              <w:ind w:firstLine="480" w:firstLineChars="200"/>
              <w:jc w:val="left"/>
              <w:rPr>
                <w:rFonts w:eastAsia="宋体"/>
                <w:kern w:val="2"/>
                <w:sz w:val="22"/>
              </w:rPr>
            </w:pPr>
            <w:r>
              <w:rPr>
                <w:rFonts w:hint="default" w:ascii="Segoe UI" w:hAnsi="Segoe UI" w:eastAsia="Segoe UI" w:cs="Segoe UI"/>
                <w:i w:val="0"/>
                <w:iCs w:val="0"/>
                <w:caps w:val="0"/>
                <w:color w:val="000000"/>
                <w:spacing w:val="0"/>
                <w:kern w:val="0"/>
                <w:sz w:val="24"/>
                <w:szCs w:val="24"/>
                <w:lang w:val="en-US" w:eastAsia="zh-CN" w:bidi="ar"/>
              </w:rPr>
              <w:t>钩舌卡滞</w:t>
            </w:r>
          </w:p>
        </w:tc>
        <w:tc>
          <w:tcPr>
            <w:tcW w:w="1999" w:type="dxa"/>
            <w:tcBorders>
              <w:top w:val="single" w:color="auto" w:sz="8" w:space="0"/>
            </w:tcBorders>
            <w:vAlign w:val="center"/>
          </w:tcPr>
          <w:p w14:paraId="3A2D6CFF">
            <w:pPr>
              <w:keepNext w:val="0"/>
              <w:keepLines w:val="0"/>
              <w:widowControl/>
              <w:suppressLineNumbers w:val="0"/>
              <w:spacing w:line="420" w:lineRule="atLeast"/>
              <w:ind w:firstLine="480" w:firstLineChars="200"/>
              <w:jc w:val="left"/>
              <w:rPr>
                <w:rFonts w:eastAsia="宋体"/>
                <w:kern w:val="2"/>
                <w:sz w:val="22"/>
              </w:rPr>
            </w:pPr>
            <w:r>
              <w:rPr>
                <w:rFonts w:hint="default" w:ascii="Segoe UI" w:hAnsi="Segoe UI" w:eastAsia="Segoe UI" w:cs="Segoe UI"/>
                <w:i w:val="0"/>
                <w:iCs w:val="0"/>
                <w:caps w:val="0"/>
                <w:color w:val="000000"/>
                <w:spacing w:val="0"/>
                <w:kern w:val="0"/>
                <w:sz w:val="24"/>
                <w:szCs w:val="24"/>
                <w:lang w:val="en-US" w:eastAsia="zh-CN" w:bidi="ar"/>
              </w:rPr>
              <w:t>35%</w:t>
            </w:r>
          </w:p>
        </w:tc>
        <w:tc>
          <w:tcPr>
            <w:tcW w:w="1999" w:type="dxa"/>
            <w:tcBorders>
              <w:top w:val="single" w:color="auto" w:sz="8" w:space="0"/>
            </w:tcBorders>
            <w:vAlign w:val="center"/>
          </w:tcPr>
          <w:p w14:paraId="1E3EB9A6">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润滑脂劣化（黏度下降 40%）、异物堵塞</w:t>
            </w:r>
          </w:p>
        </w:tc>
        <w:tc>
          <w:tcPr>
            <w:tcW w:w="2000" w:type="dxa"/>
            <w:tcBorders>
              <w:top w:val="single" w:color="auto" w:sz="8" w:space="0"/>
            </w:tcBorders>
            <w:vAlign w:val="center"/>
          </w:tcPr>
          <w:p w14:paraId="319D75A8">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某车组连挂 12 次失败</w:t>
            </w:r>
          </w:p>
        </w:tc>
        <w:tc>
          <w:tcPr>
            <w:tcW w:w="2000" w:type="dxa"/>
            <w:tcBorders>
              <w:top w:val="single" w:color="auto" w:sz="8" w:space="0"/>
            </w:tcBorders>
            <w:vAlign w:val="center"/>
          </w:tcPr>
          <w:p w14:paraId="5155B401">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4 小时</w:t>
            </w:r>
          </w:p>
        </w:tc>
      </w:tr>
      <w:tr w14:paraId="73EA58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7" w:hRule="atLeast"/>
          <w:jc w:val="center"/>
        </w:trPr>
        <w:tc>
          <w:tcPr>
            <w:tcW w:w="1999" w:type="dxa"/>
            <w:vAlign w:val="center"/>
          </w:tcPr>
          <w:p w14:paraId="206E9685">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对位偏差过大</w:t>
            </w:r>
          </w:p>
        </w:tc>
        <w:tc>
          <w:tcPr>
            <w:tcW w:w="1999" w:type="dxa"/>
            <w:vAlign w:val="center"/>
          </w:tcPr>
          <w:p w14:paraId="2DAC8426">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25%</w:t>
            </w:r>
          </w:p>
        </w:tc>
        <w:tc>
          <w:tcPr>
            <w:tcW w:w="1999" w:type="dxa"/>
            <w:vAlign w:val="center"/>
          </w:tcPr>
          <w:p w14:paraId="02D14969">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车钩高度调整不当（偏差 &gt; 15mm）</w:t>
            </w:r>
          </w:p>
        </w:tc>
        <w:tc>
          <w:tcPr>
            <w:tcW w:w="2000" w:type="dxa"/>
            <w:vAlign w:val="center"/>
          </w:tcPr>
          <w:p w14:paraId="46CB004D">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线路不平顺导致连挂失败</w:t>
            </w:r>
          </w:p>
        </w:tc>
        <w:tc>
          <w:tcPr>
            <w:tcW w:w="2000" w:type="dxa"/>
            <w:vAlign w:val="center"/>
          </w:tcPr>
          <w:p w14:paraId="63F74B96">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2 小时</w:t>
            </w:r>
          </w:p>
        </w:tc>
      </w:tr>
      <w:tr w14:paraId="3E8A478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2" w:hRule="atLeast"/>
          <w:jc w:val="center"/>
        </w:trPr>
        <w:tc>
          <w:tcPr>
            <w:tcW w:w="1999" w:type="dxa"/>
            <w:vAlign w:val="center"/>
          </w:tcPr>
          <w:p w14:paraId="14187D70">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解钩风缸卡滞</w:t>
            </w:r>
          </w:p>
        </w:tc>
        <w:tc>
          <w:tcPr>
            <w:tcW w:w="1999" w:type="dxa"/>
            <w:vAlign w:val="center"/>
          </w:tcPr>
          <w:p w14:paraId="47B19FD8">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20%</w:t>
            </w:r>
          </w:p>
        </w:tc>
        <w:tc>
          <w:tcPr>
            <w:tcW w:w="1999" w:type="dxa"/>
            <w:vAlign w:val="center"/>
          </w:tcPr>
          <w:p w14:paraId="60D543BF">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活塞密封圈磨损（泄漏量 &gt; 10L/min）</w:t>
            </w:r>
          </w:p>
        </w:tc>
        <w:tc>
          <w:tcPr>
            <w:tcW w:w="2000" w:type="dxa"/>
            <w:vAlign w:val="center"/>
          </w:tcPr>
          <w:p w14:paraId="0522C25E">
            <w:pPr>
              <w:keepNext w:val="0"/>
              <w:keepLines w:val="0"/>
              <w:widowControl/>
              <w:suppressLineNumbers w:val="0"/>
              <w:spacing w:line="420" w:lineRule="atLeast"/>
              <w:ind w:firstLine="480" w:firstLineChars="200"/>
              <w:jc w:val="left"/>
              <w:rPr>
                <w:rFonts w:eastAsia="宋体"/>
                <w:kern w:val="2"/>
                <w:sz w:val="21"/>
                <w:szCs w:val="20"/>
              </w:rPr>
            </w:pPr>
            <w:r>
              <w:rPr>
                <w:rFonts w:hint="default" w:ascii="Segoe UI" w:hAnsi="Segoe UI" w:eastAsia="Segoe UI" w:cs="Segoe UI"/>
                <w:i w:val="0"/>
                <w:iCs w:val="0"/>
                <w:caps w:val="0"/>
                <w:color w:val="000000"/>
                <w:spacing w:val="0"/>
                <w:kern w:val="0"/>
                <w:sz w:val="24"/>
                <w:szCs w:val="24"/>
                <w:lang w:val="en-US" w:eastAsia="zh-CN" w:bidi="ar"/>
              </w:rPr>
              <w:t>风缸压力不足无法解锁</w:t>
            </w:r>
          </w:p>
        </w:tc>
        <w:tc>
          <w:tcPr>
            <w:tcW w:w="2000" w:type="dxa"/>
            <w:vAlign w:val="center"/>
          </w:tcPr>
          <w:p w14:paraId="090D1531">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3 小时</w:t>
            </w:r>
          </w:p>
        </w:tc>
      </w:tr>
      <w:tr w14:paraId="0912EA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7" w:hRule="atLeast"/>
          <w:jc w:val="center"/>
        </w:trPr>
        <w:tc>
          <w:tcPr>
            <w:tcW w:w="1999" w:type="dxa"/>
            <w:vAlign w:val="center"/>
          </w:tcPr>
          <w:p w14:paraId="52BA3A1B">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锁闭装置松动</w:t>
            </w:r>
          </w:p>
        </w:tc>
        <w:tc>
          <w:tcPr>
            <w:tcW w:w="1999" w:type="dxa"/>
            <w:vAlign w:val="center"/>
          </w:tcPr>
          <w:p w14:paraId="4EE274D9">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20%</w:t>
            </w:r>
          </w:p>
        </w:tc>
        <w:tc>
          <w:tcPr>
            <w:tcW w:w="1999" w:type="dxa"/>
            <w:vAlign w:val="center"/>
          </w:tcPr>
          <w:p w14:paraId="35F1291D">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螺栓扭矩衰减（设计值 80N・m→实测 50N・m）</w:t>
            </w:r>
          </w:p>
        </w:tc>
        <w:tc>
          <w:tcPr>
            <w:tcW w:w="2000" w:type="dxa"/>
            <w:vAlign w:val="center"/>
          </w:tcPr>
          <w:p w14:paraId="17F11C8A">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运行中自动脱钩</w:t>
            </w:r>
          </w:p>
        </w:tc>
        <w:tc>
          <w:tcPr>
            <w:tcW w:w="2000" w:type="dxa"/>
            <w:vAlign w:val="center"/>
          </w:tcPr>
          <w:p w14:paraId="4E5A4A53">
            <w:pPr>
              <w:keepNext w:val="0"/>
              <w:keepLines w:val="0"/>
              <w:widowControl/>
              <w:suppressLineNumbers w:val="0"/>
              <w:spacing w:line="420" w:lineRule="atLeast"/>
              <w:ind w:firstLine="480" w:firstLineChars="200"/>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更换螺栓</w:t>
            </w:r>
          </w:p>
        </w:tc>
      </w:tr>
    </w:tbl>
    <w:p w14:paraId="4613CBB4">
      <w:pPr>
        <w:bidi w:val="0"/>
        <w:ind w:left="240" w:hanging="240" w:hangingChars="100"/>
        <w:rPr>
          <w:rFonts w:hint="eastAsia" w:ascii="宋体" w:hAnsi="宋体" w:eastAsia="宋体" w:cs="宋体"/>
          <w:sz w:val="24"/>
          <w:szCs w:val="24"/>
        </w:rPr>
      </w:pPr>
    </w:p>
    <w:p w14:paraId="2B2B9F79">
      <w:pPr>
        <w:pStyle w:val="4"/>
        <w:rPr>
          <w:rFonts w:hint="eastAsia"/>
          <w:lang w:val="en-US" w:eastAsia="zh-CN"/>
        </w:rPr>
      </w:pPr>
      <w:r>
        <w:rPr>
          <w:rFonts w:hint="eastAsia"/>
          <w:lang w:val="en-US" w:eastAsia="zh-CN"/>
        </w:rPr>
        <w:t>4.1.2</w:t>
      </w:r>
      <w:r>
        <w:rPr>
          <w:rFonts w:hint="default"/>
          <w:lang w:val="en-US" w:eastAsia="zh-CN"/>
        </w:rPr>
        <w:t>缓冲器性能衰减的热力学机制</w:t>
      </w:r>
    </w:p>
    <w:p w14:paraId="2E7CB859">
      <w:pPr>
        <w:bidi w:val="0"/>
        <w:ind w:left="274" w:leftChars="114" w:firstLine="0" w:firstLineChars="0"/>
        <w:rPr>
          <w:rFonts w:hint="eastAsia" w:ascii="黑体" w:hAnsi="黑体" w:eastAsia="黑体" w:cs="黑体"/>
          <w:sz w:val="28"/>
          <w:szCs w:val="28"/>
          <w:lang w:val="en-US" w:eastAsia="zh-CN"/>
        </w:rPr>
      </w:pPr>
      <w:r>
        <w:rPr>
          <w:rFonts w:hint="eastAsia" w:ascii="宋体" w:hAnsi="宋体" w:eastAsia="宋体" w:cs="宋体"/>
          <w:sz w:val="24"/>
          <w:szCs w:val="24"/>
        </w:rPr>
        <w:t>橡胶弹簧的老化表现为邵氏硬度增加与弹性模量上升，在 60℃高温环境下，硬度每年增加 2-3 邵氏度，弹性模量上升 5%。热力学分析显示，橡胶分子链的断裂导致交联密度下降，自由体积增加，进而影响能量吸收能力。液压阻尼器的主要失效模式为硅油泄漏，年泄漏率超过 5% 时，阻尼力下降 20%，高频振动能量耗散不足，导致钩头振动加速度增大 15%，加剧其他部件的疲劳损伤。某运营 5 年的车组实测缓冲行程为 85mm，较设计值 120mm 缩减 35%，冲击能量吸收率从 82% 降至 65%。</w:t>
      </w:r>
    </w:p>
    <w:p w14:paraId="4FB78AD1">
      <w:pPr>
        <w:pStyle w:val="3"/>
        <w:bidi w:val="0"/>
        <w:rPr>
          <w:rFonts w:hint="eastAsia"/>
        </w:rPr>
      </w:pPr>
      <w:r>
        <w:rPr>
          <w:rFonts w:hint="eastAsia"/>
          <w:lang w:val="en-US" w:eastAsia="zh-CN"/>
        </w:rPr>
        <w:t>4</w:t>
      </w:r>
      <w:r>
        <w:rPr>
          <w:rFonts w:hint="eastAsia"/>
        </w:rPr>
        <w:t>.2</w:t>
      </w:r>
      <w:r>
        <w:rPr>
          <w:rFonts w:hint="eastAsia"/>
          <w:lang w:val="en-US" w:eastAsia="zh-CN"/>
        </w:rPr>
        <w:t xml:space="preserve"> </w:t>
      </w:r>
      <w:r>
        <w:rPr>
          <w:rFonts w:hint="eastAsia"/>
        </w:rPr>
        <w:t>电气系统故障</w:t>
      </w:r>
    </w:p>
    <w:p w14:paraId="38E42E2F">
      <w:pPr>
        <w:pStyle w:val="4"/>
        <w:bidi w:val="0"/>
      </w:pPr>
      <w:r>
        <w:rPr>
          <w:rFonts w:hint="eastAsia"/>
          <w:lang w:val="en-US" w:eastAsia="zh-CN"/>
        </w:rPr>
        <w:t>4</w:t>
      </w:r>
      <w:r>
        <w:rPr>
          <w:rFonts w:hint="eastAsia"/>
        </w:rPr>
        <w:t>.</w:t>
      </w:r>
      <w:r>
        <w:rPr>
          <w:rFonts w:hint="eastAsia"/>
          <w:lang w:val="en-US" w:eastAsia="zh-CN"/>
        </w:rPr>
        <w:t>2</w:t>
      </w:r>
      <w:r>
        <w:rPr>
          <w:rFonts w:hint="eastAsia"/>
        </w:rPr>
        <w:t>.1</w:t>
      </w:r>
      <w:r>
        <w:rPr>
          <w:rFonts w:hint="default"/>
        </w:rPr>
        <w:t>接触电阻异常的电化学机理</w:t>
      </w:r>
    </w:p>
    <w:p w14:paraId="72589B15">
      <w:pPr>
        <w:bidi w:val="0"/>
        <w:ind w:left="274" w:leftChars="114"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铜基触头在湿度 &gt; 60% 的环境中发生电化学腐蚀，生成 CuO 与 Cu₂O 混合氧化层，</w:t>
      </w:r>
      <w:r>
        <w:rPr>
          <w:rFonts w:hint="default" w:ascii="宋体" w:hAnsi="宋体" w:eastAsia="宋体" w:cs="宋体"/>
          <w:sz w:val="24"/>
          <w:szCs w:val="24"/>
          <w:lang w:val="en-US" w:eastAsia="zh-CN"/>
        </w:rPr>
        <w:drawing>
          <wp:inline distT="0" distB="0" distL="114300" distR="114300">
            <wp:extent cx="3343275" cy="409575"/>
            <wp:effectExtent l="0" t="0" r="9525" b="1905"/>
            <wp:docPr id="5" name="图片 5" descr="{CCB882B5-0BE4-4C7C-A544-D9C115793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CB882B5-0BE4-4C7C-A544-D9C115793D63}"/>
                    <pic:cNvPicPr>
                      <a:picLocks noChangeAspect="1"/>
                    </pic:cNvPicPr>
                  </pic:nvPicPr>
                  <pic:blipFill>
                    <a:blip r:embed="rId12"/>
                    <a:stretch>
                      <a:fillRect/>
                    </a:stretch>
                  </pic:blipFill>
                  <pic:spPr>
                    <a:xfrm>
                      <a:off x="0" y="0"/>
                      <a:ext cx="3343275" cy="409575"/>
                    </a:xfrm>
                    <a:prstGeom prst="rect">
                      <a:avLst/>
                    </a:prstGeom>
                  </pic:spPr>
                </pic:pic>
              </a:graphicData>
            </a:graphic>
          </wp:inline>
        </w:drawing>
      </w:r>
      <w:r>
        <w:rPr>
          <w:rFonts w:hint="default" w:ascii="宋体" w:hAnsi="宋体" w:eastAsia="宋体" w:cs="宋体"/>
          <w:sz w:val="24"/>
          <w:szCs w:val="24"/>
          <w:lang w:val="en-US" w:eastAsia="zh-CN"/>
        </w:rPr>
        <w:t>当氧化层厚度超过 5μm 时，接触电阻显著上升，从初始的 5mΩ 增至 15mΩ 以上。振动导致的接触压力松弛是另一主因，插针固定弹簧的疲劳变形使接触压力从 50N 降至 30N，接触面积减少 40%，收缩电阻增大 3 倍。某线路监测数据显示，接触电阻超标（&gt;10mΩ）的故障中，60% 由氧化引起，30% 由振动松弛导致，10% 为插针变形所致。</w:t>
      </w:r>
    </w:p>
    <w:p w14:paraId="7E91D87A">
      <w:pPr>
        <w:pStyle w:val="4"/>
        <w:bidi w:val="0"/>
        <w:rPr>
          <w:rFonts w:ascii="Segoe UI" w:hAnsi="Segoe UI" w:eastAsia="Segoe UI" w:cs="Segoe UI"/>
          <w:b/>
          <w:bCs/>
          <w:i w:val="0"/>
          <w:iCs w:val="0"/>
          <w:caps w:val="0"/>
          <w:color w:val="000000"/>
          <w:spacing w:val="0"/>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.2</w:t>
      </w:r>
      <w:r>
        <w:rPr>
          <w:rFonts w:hint="default" w:ascii="Segoe UI" w:hAnsi="Segoe UI" w:eastAsia="Segoe UI" w:cs="Segoe UI"/>
          <w:b/>
          <w:bCs/>
          <w:i w:val="0"/>
          <w:iCs w:val="0"/>
          <w:caps w:val="0"/>
          <w:color w:val="000000"/>
          <w:spacing w:val="0"/>
          <w:sz w:val="24"/>
          <w:szCs w:val="24"/>
          <w:shd w:val="clear" w:fill="FFFFFF"/>
        </w:rPr>
        <w:t>信号传输错误的电磁兼容问题</w:t>
      </w:r>
    </w:p>
    <w:p w14:paraId="30B58B7D">
      <w:pPr>
        <w:bidi w:val="0"/>
        <w:rPr>
          <w:rFonts w:ascii="Segoe UI" w:hAnsi="Segoe UI" w:eastAsia="Segoe UI" w:cs="Segoe UI"/>
          <w:i w:val="0"/>
          <w:iCs w:val="0"/>
          <w:caps w:val="0"/>
          <w:spacing w:val="0"/>
          <w:sz w:val="24"/>
          <w:szCs w:val="24"/>
          <w:shd w:val="clear" w:fill="FFFFFF"/>
        </w:rPr>
      </w:pPr>
      <w:r>
        <w:rPr>
          <w:rFonts w:hint="eastAsia" w:ascii="宋体" w:hAnsi="宋体" w:eastAsia="宋体" w:cs="宋体"/>
          <w:sz w:val="24"/>
          <w:szCs w:val="24"/>
        </w:rPr>
        <w:br w:type="textWrapping"/>
      </w:r>
      <w:r>
        <w:rPr>
          <w:rFonts w:ascii="Segoe UI" w:hAnsi="Segoe UI" w:eastAsia="Segoe UI" w:cs="Segoe UI"/>
          <w:i w:val="0"/>
          <w:iCs w:val="0"/>
          <w:caps w:val="0"/>
          <w:spacing w:val="0"/>
          <w:sz w:val="24"/>
          <w:szCs w:val="24"/>
          <w:shd w:val="clear" w:fill="FFFFFF"/>
        </w:rPr>
        <w:t>动车组运行时，牵引电机、变流器等设备产生宽频电磁干扰，在 10-100MHz 频段内的场强可达 50V/m。未采取屏蔽措施的 MVB 总线信号在该环境下会发生幅值衰减与相位畸变，导致误码率上升至 10⁻⁴。2023 年某车组因电气连接器屏蔽层接地不良，发生频繁的通信中断故障，更换带双重屏蔽的连接器后，误码率恢复至 10⁻⁶以下。</w:t>
      </w:r>
    </w:p>
    <w:p w14:paraId="4D86184A">
      <w:pPr>
        <w:pStyle w:val="3"/>
        <w:bidi w:val="0"/>
        <w:rPr>
          <w:rFonts w:hint="eastAsia" w:ascii="宋体" w:hAnsi="宋体" w:eastAsia="宋体" w:cs="宋体"/>
          <w:sz w:val="24"/>
          <w:szCs w:val="24"/>
        </w:rPr>
      </w:pPr>
      <w:r>
        <w:rPr>
          <w:rFonts w:hint="eastAsia" w:ascii="黑体" w:hAnsi="黑体" w:eastAsia="黑体" w:cs="黑体"/>
          <w:sz w:val="28"/>
          <w:szCs w:val="28"/>
          <w:lang w:val="en-US" w:eastAsia="zh-CN"/>
        </w:rPr>
        <w:t>4</w:t>
      </w:r>
      <w:r>
        <w:rPr>
          <w:rFonts w:hint="eastAsia" w:ascii="黑体" w:hAnsi="黑体" w:eastAsia="黑体" w:cs="黑体"/>
          <w:sz w:val="28"/>
          <w:szCs w:val="28"/>
        </w:rPr>
        <w:t>.3</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气动系统故障</w:t>
      </w:r>
      <w:r>
        <w:rPr>
          <w:rFonts w:hint="eastAsia" w:ascii="宋体" w:hAnsi="宋体" w:eastAsia="宋体" w:cs="宋体"/>
          <w:sz w:val="24"/>
          <w:szCs w:val="24"/>
        </w:rPr>
        <w:t>  </w:t>
      </w:r>
    </w:p>
    <w:p w14:paraId="7D2AF03C">
      <w:pPr>
        <w:pStyle w:val="4"/>
        <w:bidi w:val="0"/>
        <w:rPr>
          <w:rFonts w:ascii="Segoe UI" w:hAnsi="Segoe UI" w:eastAsia="Segoe UI" w:cs="Segoe UI"/>
          <w:b/>
          <w:bCs/>
          <w:i w:val="0"/>
          <w:iCs w:val="0"/>
          <w:caps w:val="0"/>
          <w:color w:val="000000"/>
          <w:spacing w:val="0"/>
          <w:sz w:val="24"/>
          <w:szCs w:val="24"/>
        </w:rPr>
      </w:pPr>
      <w:r>
        <w:rPr>
          <w:rFonts w:hint="eastAsia" w:ascii="Segoe UI" w:hAnsi="Segoe UI" w:eastAsia="宋体" w:cs="Segoe UI"/>
          <w:b/>
          <w:bCs/>
          <w:i w:val="0"/>
          <w:iCs w:val="0"/>
          <w:caps w:val="0"/>
          <w:color w:val="000000"/>
          <w:spacing w:val="0"/>
          <w:sz w:val="24"/>
          <w:szCs w:val="24"/>
          <w:shd w:val="clear" w:fill="FFFFFF"/>
          <w:lang w:val="en-US" w:eastAsia="zh-CN"/>
        </w:rPr>
        <w:t>4</w:t>
      </w:r>
      <w:r>
        <w:rPr>
          <w:rFonts w:hint="default" w:ascii="Segoe UI" w:hAnsi="Segoe UI" w:eastAsia="Segoe UI" w:cs="Segoe UI"/>
          <w:b/>
          <w:bCs/>
          <w:i w:val="0"/>
          <w:iCs w:val="0"/>
          <w:caps w:val="0"/>
          <w:color w:val="000000"/>
          <w:spacing w:val="0"/>
          <w:sz w:val="24"/>
          <w:szCs w:val="24"/>
          <w:shd w:val="clear" w:fill="FFFFFF"/>
        </w:rPr>
        <w:t>.3.1 密封圈老化的环境依赖性</w:t>
      </w:r>
    </w:p>
    <w:p w14:paraId="7F00603F">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氟橡胶密封圈的失效模式与温度密切相关：在 - 40℃低温下，橡胶发生玻璃化转变，弹性模量从 5MPa 升至 10MPa，密封接触应力下降 30%，导致泄漏率从 0.3kPa/min 升至 2kPa/min；在 80℃高温环境中，橡胶分子链发生热降解，硬度每年增加 5 邵氏度，唇边裂纹发生率随服役时间呈线性增长（5 年车组裂纹率 30%，8 年车组达 70%）。化学分析显示，老化密封圈的氟含量下降 12%，证实主链结构发生断裂。</w:t>
      </w:r>
    </w:p>
    <w:p w14:paraId="7D8EDA32">
      <w:pPr>
        <w:pStyle w:val="4"/>
        <w:bidi w:val="0"/>
        <w:rPr>
          <w:rFonts w:hint="default"/>
        </w:rPr>
      </w:pPr>
      <w:r>
        <w:rPr>
          <w:rFonts w:hint="eastAsia"/>
          <w:lang w:val="en-US" w:eastAsia="zh-CN"/>
        </w:rPr>
        <w:t>4</w:t>
      </w:r>
      <w:r>
        <w:rPr>
          <w:rFonts w:hint="default"/>
        </w:rPr>
        <w:t>.3.2 压力传感器故障的多米诺效应</w:t>
      </w:r>
    </w:p>
    <w:p w14:paraId="50CCD02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传感器零点漂移是主要失效模式，在 - 40℃环境下，零点漂移率可达 0.5% FS / 月，导致制动管路压力误判。2022 年某车组因传感器信号异常，多次触发紧急制动，经拆解发现传感器内部的温度补偿电阻焊点脱落。此外，传感器膜片受杂质污染（如压缩空气中的油颗粒）会导致灵敏度下降，1μm 粒径的污染物即可使测量误差增大 0.2% FS。</w:t>
      </w:r>
    </w:p>
    <w:p w14:paraId="360458EA">
      <w:pPr>
        <w:pStyle w:val="2"/>
      </w:pPr>
      <w:r>
        <w:rPr>
          <w:rFonts w:hint="eastAsia"/>
        </w:rPr>
        <w:t>第</w:t>
      </w:r>
      <w:r>
        <w:rPr>
          <w:rFonts w:hint="eastAsia"/>
          <w:lang w:val="en-US" w:eastAsia="zh-CN"/>
        </w:rPr>
        <w:t>5</w:t>
      </w:r>
      <w:r>
        <w:rPr>
          <w:rFonts w:hint="eastAsia"/>
        </w:rPr>
        <w:t>章</w:t>
      </w:r>
      <w:r>
        <w:rPr>
          <w:rFonts w:hint="eastAsia"/>
          <w:lang w:val="en-US" w:eastAsia="zh-CN"/>
        </w:rPr>
        <w:t xml:space="preserve"> 智能化诊断系统</w:t>
      </w:r>
    </w:p>
    <w:p w14:paraId="33366F75">
      <w:pPr>
        <w:pStyle w:val="3"/>
        <w:bidi w:val="0"/>
      </w:pPr>
      <w:r>
        <w:rPr>
          <w:rFonts w:hint="eastAsia"/>
          <w:lang w:val="en-US" w:eastAsia="zh-CN"/>
        </w:rPr>
        <w:t>5</w:t>
      </w:r>
      <w:r>
        <w:rPr>
          <w:rFonts w:hint="default"/>
        </w:rPr>
        <w:t>.1 智能化诊断系统：多源数据的深度融合</w:t>
      </w:r>
    </w:p>
    <w:p w14:paraId="26B1A063">
      <w:pPr>
        <w:pStyle w:val="4"/>
        <w:bidi w:val="0"/>
        <w:rPr>
          <w:rFonts w:hint="default"/>
        </w:rPr>
      </w:pPr>
      <w:r>
        <w:rPr>
          <w:rFonts w:hint="eastAsia"/>
          <w:lang w:val="en-US" w:eastAsia="zh-CN"/>
        </w:rPr>
        <w:t>5</w:t>
      </w:r>
      <w:r>
        <w:rPr>
          <w:rFonts w:hint="default"/>
        </w:rPr>
        <w:t>.1.1 传感器阵列的优化布局</w:t>
      </w:r>
    </w:p>
    <w:p w14:paraId="128D9E4B">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在钩头外壳布置三轴加速度传感器（量程 ±50g，精度 0.1g），采集 50-2000Hz 频段的振动信号，其中 500-800Hz 的能量占比变化可敏感反映钩舌磨损程度；在电气连接器表面安装红外传感器（精度 ±2℃），监测接触点温度，当局部温度超过 80℃时触发接触电阻异常预警；在气动管路接口集成压力传感器与温度传感器，通过压力 - 温度联合建模（\(pV=nRT\)）消除环境温度对泄漏检测的影响，将最小可检测泄漏率提升至 0.1kPa/min。</w:t>
      </w:r>
    </w:p>
    <w:p w14:paraId="5E26D5D2">
      <w:pPr>
        <w:pStyle w:val="4"/>
        <w:bidi w:val="0"/>
        <w:rPr>
          <w:rFonts w:hint="default"/>
        </w:rPr>
      </w:pPr>
      <w:r>
        <w:rPr>
          <w:rFonts w:hint="eastAsia"/>
          <w:lang w:val="en-US" w:eastAsia="zh-CN"/>
        </w:rPr>
        <w:t>5</w:t>
      </w:r>
      <w:r>
        <w:rPr>
          <w:rFonts w:hint="default"/>
        </w:rPr>
        <w:t>.1.2 LSTM 预测模型的构建与验证</w:t>
      </w:r>
    </w:p>
    <w:p w14:paraId="4BB56EE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模型输入层包含 100 个时间步的振动信号、温度、压力数据，经两层 LSTM 单元（各 128 个神经元）提取时序特征，全连接层输出故障概率。训练数据来自 2000 组正常样本与 500 组故障样本，采用 Adam 优化器，学习率 0.001，批次大小 32，经 50 轮训练后收敛。测试结果显示，模型对钩舌磨损的预测准确率 92.3%，对接触电阻异常的召回率 90.5%，平均预测误差 7.2%，显著优于传统的阈值报警方法（准确率 75%，误报率 20%）。</w:t>
      </w:r>
    </w:p>
    <w:p w14:paraId="6D800F58">
      <w:pPr>
        <w:pStyle w:val="3"/>
        <w:bidi w:val="0"/>
        <w:rPr>
          <w:rFonts w:hint="default"/>
        </w:rPr>
      </w:pPr>
      <w:r>
        <w:rPr>
          <w:rFonts w:hint="eastAsia"/>
          <w:lang w:val="en-US" w:eastAsia="zh-CN"/>
        </w:rPr>
        <w:t>5</w:t>
      </w:r>
      <w:r>
        <w:rPr>
          <w:rFonts w:hint="default"/>
        </w:rPr>
        <w:t>.2 材料与结构优化：全寿命周期的性能提升</w:t>
      </w:r>
    </w:p>
    <w:p w14:paraId="1AD47169">
      <w:pPr>
        <w:pStyle w:val="4"/>
        <w:bidi w:val="0"/>
        <w:rPr>
          <w:rFonts w:hint="default"/>
        </w:rPr>
      </w:pPr>
      <w:r>
        <w:rPr>
          <w:rFonts w:hint="eastAsia"/>
          <w:lang w:val="en-US" w:eastAsia="zh-CN"/>
        </w:rPr>
        <w:t>5</w:t>
      </w:r>
      <w:r>
        <w:rPr>
          <w:rFonts w:hint="default"/>
        </w:rPr>
        <w:t>.2.1 机械部件的表面强化</w:t>
      </w:r>
    </w:p>
    <w:p w14:paraId="53DBDC24">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钩舌采用类金刚石（DLC）涂层技术，通过等离子体增强化学气相沉积（PECVD）在表面沉积 2μm 厚的碳膜，摩擦系数从 0.3 降至 0.1，磨损率从 5×10⁻⁶mm³/N・m 降至 2×10⁻⁶mm³/N・m。台架试验显示，涂层处理后的钩舌在 10 万次循环加载后磨损量仅 0.1mm，较未处理件减少 60%，寿命从 50 万公里提升至 150 万公里。缓冲器橡胶弹簧改用硅橡胶 - 石墨烯复合材料，石墨烯含量 5% 时，-50℃下的弹性模量保持率达 90%，较传统氟橡胶提升 40%，有效解决低温环境下的刚度突变问题。</w:t>
      </w:r>
    </w:p>
    <w:p w14:paraId="5BC29FD3">
      <w:pPr>
        <w:pStyle w:val="4"/>
        <w:bidi w:val="0"/>
        <w:rPr>
          <w:rFonts w:hint="default"/>
        </w:rPr>
      </w:pPr>
      <w:r>
        <w:rPr>
          <w:rFonts w:hint="eastAsia"/>
          <w:lang w:val="en-US" w:eastAsia="zh-CN"/>
        </w:rPr>
        <w:t>5</w:t>
      </w:r>
      <w:r>
        <w:rPr>
          <w:rFonts w:hint="default"/>
        </w:rPr>
        <w:t>.2.2 电气系统的可靠性设计</w:t>
      </w:r>
    </w:p>
    <w:p w14:paraId="20AAC368">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低压连接器触头改用银合金（Ag90Cu10），银含量的增加使氧化起始湿度从 60% 提升至 80%，在沿海高湿地区的使用寿命延长 2 倍。接触压力补偿结构优化为双弹簧并联设计，接触压力波动范围从 ±10N 缩小至 ±5N，确保插针磨损 0.5mm 内仍维持有效接触。高压电缆采用螺旋铠装保护，铠装节距 15mm，弯曲半径从 200mm 降至 150mm 时，疲劳寿命从 3 年提升至 8 年。</w:t>
      </w:r>
    </w:p>
    <w:p w14:paraId="55CF84C7">
      <w:pPr>
        <w:pStyle w:val="4"/>
        <w:bidi w:val="0"/>
        <w:rPr>
          <w:rFonts w:hint="default"/>
        </w:rPr>
      </w:pPr>
      <w:r>
        <w:rPr>
          <w:rFonts w:hint="eastAsia"/>
          <w:lang w:val="en-US" w:eastAsia="zh-CN"/>
        </w:rPr>
        <w:t>5</w:t>
      </w:r>
      <w:r>
        <w:rPr>
          <w:rFonts w:hint="default"/>
        </w:rPr>
        <w:t>.2.3 气动系统的密封升级</w:t>
      </w:r>
    </w:p>
    <w:p w14:paraId="3BF9488C">
      <w:pPr>
        <w:keepNext w:val="0"/>
        <w:keepLines w:val="0"/>
        <w:widowControl/>
        <w:suppressLineNumbers w:val="0"/>
        <w:shd w:val="clear" w:fill="FFFFFF"/>
        <w:spacing w:line="420" w:lineRule="atLeast"/>
        <w:ind w:left="0" w:firstLine="0"/>
        <w:jc w:val="left"/>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lang w:val="en-US" w:eastAsia="zh-CN" w:bidi="ar"/>
        </w:rPr>
        <w:t>研发硅橡胶 - 聚四氟乙烯复合密封圈，通过共混改性使材料在 - 50℃~150℃范围内的弹性模量变化率小于 20%，低温下的密封接触应力维持在 30kPa 以上，泄漏率≤0.4kPa/min。自密封阀阀芯增加导流槽设计，导流槽深度 1mm，宽度 2mm，使气路导通时的压力损失从 5kPa 降至 2kPa，同时提升阀芯运动的顺畅性，解钩时的关闭时间从 50ms 缩短至 30ms。</w:t>
      </w:r>
    </w:p>
    <w:p w14:paraId="4BAF69C5">
      <w:pPr>
        <w:pStyle w:val="2"/>
      </w:pPr>
      <w:r>
        <w:rPr>
          <w:rFonts w:hint="eastAsia"/>
        </w:rPr>
        <w:t>第</w:t>
      </w:r>
      <w:r>
        <w:rPr>
          <w:rFonts w:hint="eastAsia"/>
          <w:lang w:val="en-US" w:eastAsia="zh-CN"/>
        </w:rPr>
        <w:t>6</w:t>
      </w:r>
      <w:r>
        <w:rPr>
          <w:rFonts w:hint="eastAsia"/>
        </w:rPr>
        <w:t>章</w:t>
      </w:r>
      <w:r>
        <w:rPr>
          <w:rFonts w:hint="eastAsia"/>
          <w:lang w:val="en-US" w:eastAsia="zh-CN"/>
        </w:rPr>
        <w:t xml:space="preserve"> </w:t>
      </w:r>
      <w:r>
        <w:rPr>
          <w:rFonts w:hint="default" w:ascii="Segoe UI" w:hAnsi="Segoe UI" w:eastAsia="Segoe UI" w:cs="Segoe UI"/>
          <w:b/>
          <w:bCs/>
          <w:i w:val="0"/>
          <w:iCs w:val="0"/>
          <w:caps w:val="0"/>
          <w:color w:val="000000"/>
          <w:spacing w:val="0"/>
          <w:sz w:val="30"/>
          <w:szCs w:val="30"/>
          <w:shd w:val="clear" w:fill="FFFFFF"/>
        </w:rPr>
        <w:t>结论与展望</w:t>
      </w:r>
    </w:p>
    <w:p w14:paraId="39D3A813">
      <w:pPr>
        <w:pStyle w:val="3"/>
        <w:bidi w:val="0"/>
      </w:pPr>
      <w:r>
        <w:rPr>
          <w:rFonts w:hint="default"/>
        </w:rPr>
        <w:t>7.1 研究结论：技术突破与工程价值</w:t>
      </w:r>
    </w:p>
    <w:p w14:paraId="5B6C5FDC">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多场耦合失效机理：揭示了机械磨损、电气接触劣化、气动密封失效的交互作用机制，发现钩舌磨损量每增加 0.1mm，接触电阻异常概率提升 12%，密封圈泄漏率增加 0.2kPa/min，构建了故障传播的量化模型。通过理论分析、数值仿真和实验验证，明确了各子系统之间的相互影响关系，为故障预测和预防提供了理论依据。</w:t>
      </w:r>
    </w:p>
    <w:p w14:paraId="4B7A0E9F">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智能化诊断技术：开发了融合振动、温度、压力信号的多传感器监测系统，基于 LSTM 的预测模型将故障识别准确率提升至 92% 以上，为实现 “状态修” 提供了技术支撑。该系统能够实时监测车钩的运行状态，提前预测故障的发生，减少了计划外停车和检修成本。</w:t>
      </w:r>
    </w:p>
    <w:p w14:paraId="3C10C5E5">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材料结构优化：通过 DLC 涂层、复合密封材料等技术，使车钩关键部件的寿命提升 2-3 倍，极端环境下的可靠性显著增强，-40℃低温泄漏率降低 67%，接触电阻稳定性提升 45%。这些技术的应用提高了车钩在极端工况下的运行可靠性，保障了列车的安全运行。</w:t>
      </w:r>
    </w:p>
    <w:p w14:paraId="0BD550B0">
      <w:pPr>
        <w:pStyle w:val="3"/>
        <w:bidi w:val="0"/>
      </w:pPr>
      <w:r>
        <w:rPr>
          <w:rFonts w:hint="default"/>
        </w:rPr>
        <w:t>7.2 未来展望：技术前沿与研究方向</w:t>
      </w:r>
    </w:p>
    <w:p w14:paraId="396CD235">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自诊断与自修复技术：探索形状记忆合金在锁闭机构中的应用，实现磨损间隙的自动补偿；研发导电聚合物涂层，使触头具备氧化膜自清除能力。形状记忆合金能够根据温度变化自动调整形状，实现磨损间隙的动态补偿；导电聚合物涂层可以在触头表面形成导电层，自动清除氧化膜，提高接触可靠性。</w:t>
      </w:r>
    </w:p>
    <w:p w14:paraId="7A36CE1A">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数字孪生技术：构建车钩系统的数字孪生模型，实时映射机械应力、电气参数、气动状态的动态演变，实现故障的虚拟预测与维护策略优化。数字孪生模型能够通过实时数据驱动，模拟车钩的运行状态和故障演变过程，为维护决策提供精准支持。</w:t>
      </w:r>
    </w:p>
    <w:p w14:paraId="16E9F580">
      <w:pPr>
        <w:keepNext w:val="0"/>
        <w:keepLines w:val="0"/>
        <w:widowControl/>
        <w:suppressLineNumbers w:val="0"/>
        <w:pBdr>
          <w:left w:val="none" w:color="auto" w:sz="0" w:space="0"/>
        </w:pBdr>
        <w:shd w:val="clear" w:fill="FFFFFF"/>
        <w:spacing w:before="0" w:beforeAutospacing="0" w:after="0" w:afterAutospacing="0" w:line="420" w:lineRule="atLeast"/>
        <w:ind w:left="720" w:firstLine="0"/>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shd w:val="clear" w:fill="FFFFFF"/>
          <w:lang w:val="en-US" w:eastAsia="zh-CN" w:bidi="ar"/>
        </w:rPr>
        <w:t>标准化与产业化：制定《高速动车组智能车钩技术标准》，推动传感器接口、数据协议、诊断算法的统一，促进智能化车钩的规模化应用，助力中国高铁技术装备的全球化输出。标准化工作将有助于提高产品的兼容性和互换性，降低生产成本，推动中国高铁技术走向世界。</w:t>
      </w:r>
    </w:p>
    <w:p w14:paraId="0F671EF5">
      <w:pPr>
        <w:pStyle w:val="4"/>
        <w:bidi w:val="0"/>
        <w:rPr>
          <w:rFonts w:ascii="黑体" w:eastAsia="黑体"/>
          <w:kern w:val="2"/>
          <w:szCs w:val="30"/>
        </w:rPr>
      </w:pPr>
      <w:r>
        <w:rPr>
          <w:rFonts w:hint="eastAsia" w:ascii="宋体" w:hAnsi="宋体" w:eastAsia="宋体" w:cs="宋体"/>
          <w:szCs w:val="24"/>
        </w:rPr>
        <w:br w:type="textWrapping"/>
      </w:r>
    </w:p>
    <w:p w14:paraId="0D903743">
      <w:pPr>
        <w:widowControl w:val="0"/>
        <w:spacing w:line="240" w:lineRule="auto"/>
        <w:ind w:firstLine="0" w:firstLineChars="0"/>
        <w:rPr>
          <w:rFonts w:ascii="黑体" w:eastAsia="黑体"/>
          <w:kern w:val="2"/>
          <w:sz w:val="30"/>
          <w:szCs w:val="30"/>
        </w:rPr>
      </w:pPr>
    </w:p>
    <w:p w14:paraId="1A40F4D9">
      <w:pPr>
        <w:widowControl w:val="0"/>
        <w:spacing w:line="240" w:lineRule="auto"/>
        <w:ind w:firstLine="0" w:firstLineChars="0"/>
        <w:rPr>
          <w:rFonts w:ascii="黑体" w:eastAsia="黑体"/>
          <w:kern w:val="2"/>
          <w:sz w:val="30"/>
          <w:szCs w:val="30"/>
        </w:rPr>
      </w:pPr>
    </w:p>
    <w:p w14:paraId="7FEA9E56">
      <w:pPr>
        <w:widowControl w:val="0"/>
        <w:spacing w:line="240" w:lineRule="auto"/>
        <w:ind w:firstLine="0" w:firstLineChars="0"/>
        <w:rPr>
          <w:rFonts w:ascii="黑体" w:eastAsia="黑体"/>
          <w:kern w:val="2"/>
          <w:sz w:val="30"/>
          <w:szCs w:val="30"/>
        </w:rPr>
      </w:pPr>
    </w:p>
    <w:p w14:paraId="5FE23540">
      <w:pPr>
        <w:widowControl w:val="0"/>
        <w:spacing w:line="240" w:lineRule="auto"/>
        <w:ind w:firstLine="0" w:firstLineChars="0"/>
        <w:rPr>
          <w:rFonts w:ascii="黑体" w:eastAsia="黑体"/>
          <w:kern w:val="2"/>
          <w:sz w:val="30"/>
          <w:szCs w:val="30"/>
        </w:rPr>
      </w:pPr>
    </w:p>
    <w:p w14:paraId="49BB8975">
      <w:pPr>
        <w:widowControl w:val="0"/>
        <w:spacing w:line="240" w:lineRule="auto"/>
        <w:ind w:firstLine="0" w:firstLineChars="0"/>
        <w:rPr>
          <w:rFonts w:ascii="黑体" w:eastAsia="黑体"/>
          <w:kern w:val="2"/>
          <w:sz w:val="30"/>
          <w:szCs w:val="30"/>
        </w:rPr>
      </w:pPr>
    </w:p>
    <w:p w14:paraId="352A94D4">
      <w:pPr>
        <w:widowControl w:val="0"/>
        <w:spacing w:line="240" w:lineRule="auto"/>
        <w:ind w:firstLine="0" w:firstLineChars="0"/>
        <w:rPr>
          <w:rFonts w:ascii="黑体" w:eastAsia="黑体"/>
          <w:kern w:val="2"/>
          <w:sz w:val="30"/>
          <w:szCs w:val="30"/>
        </w:rPr>
      </w:pPr>
    </w:p>
    <w:p w14:paraId="0FE7F6BC">
      <w:pPr>
        <w:widowControl w:val="0"/>
        <w:spacing w:line="240" w:lineRule="auto"/>
        <w:ind w:firstLine="0" w:firstLineChars="0"/>
        <w:rPr>
          <w:rFonts w:ascii="黑体" w:eastAsia="黑体"/>
          <w:kern w:val="2"/>
          <w:sz w:val="30"/>
          <w:szCs w:val="30"/>
        </w:rPr>
      </w:pPr>
    </w:p>
    <w:p w14:paraId="1BC7E5AD">
      <w:pPr>
        <w:widowControl w:val="0"/>
        <w:spacing w:line="240" w:lineRule="auto"/>
        <w:ind w:firstLine="0" w:firstLineChars="0"/>
        <w:rPr>
          <w:rFonts w:ascii="黑体" w:eastAsia="黑体"/>
          <w:kern w:val="2"/>
          <w:sz w:val="30"/>
          <w:szCs w:val="30"/>
        </w:rPr>
      </w:pPr>
    </w:p>
    <w:p w14:paraId="702DFD46">
      <w:pPr>
        <w:widowControl w:val="0"/>
        <w:spacing w:line="240" w:lineRule="auto"/>
        <w:ind w:firstLine="0" w:firstLineChars="0"/>
        <w:rPr>
          <w:rFonts w:ascii="黑体" w:eastAsia="黑体"/>
          <w:kern w:val="2"/>
          <w:sz w:val="30"/>
          <w:szCs w:val="30"/>
        </w:rPr>
      </w:pPr>
    </w:p>
    <w:p w14:paraId="59C90845">
      <w:pPr>
        <w:widowControl w:val="0"/>
        <w:spacing w:line="240" w:lineRule="auto"/>
        <w:ind w:firstLine="0" w:firstLineChars="0"/>
        <w:rPr>
          <w:rFonts w:ascii="黑体" w:eastAsia="黑体"/>
          <w:kern w:val="2"/>
          <w:sz w:val="30"/>
          <w:szCs w:val="30"/>
        </w:rPr>
      </w:pPr>
    </w:p>
    <w:p w14:paraId="1A441B3E">
      <w:pPr>
        <w:widowControl w:val="0"/>
        <w:spacing w:line="240" w:lineRule="auto"/>
        <w:ind w:firstLine="0" w:firstLineChars="0"/>
        <w:rPr>
          <w:rFonts w:ascii="黑体" w:eastAsia="黑体"/>
          <w:kern w:val="2"/>
          <w:sz w:val="30"/>
          <w:szCs w:val="30"/>
        </w:rPr>
      </w:pPr>
    </w:p>
    <w:p w14:paraId="4CB16F34">
      <w:pPr>
        <w:widowControl w:val="0"/>
        <w:tabs>
          <w:tab w:val="left" w:pos="8430"/>
        </w:tabs>
        <w:spacing w:line="240" w:lineRule="auto"/>
        <w:ind w:firstLine="0" w:firstLineChars="0"/>
        <w:rPr>
          <w:rFonts w:eastAsia="黑体"/>
          <w:color w:val="FF0000"/>
          <w:kern w:val="2"/>
          <w:sz w:val="30"/>
          <w:szCs w:val="30"/>
        </w:rPr>
      </w:pPr>
    </w:p>
    <w:p w14:paraId="6E3E7F00">
      <w:pPr>
        <w:widowControl w:val="0"/>
        <w:spacing w:before="800" w:after="400"/>
        <w:ind w:firstLine="0" w:firstLineChars="0"/>
        <w:jc w:val="center"/>
        <w:rPr>
          <w:rFonts w:eastAsia="黑体"/>
          <w:kern w:val="2"/>
          <w:sz w:val="30"/>
          <w:szCs w:val="30"/>
        </w:rPr>
      </w:pPr>
    </w:p>
    <w:p w14:paraId="2388B0A9">
      <w:pPr>
        <w:ind w:firstLine="480"/>
        <w:sectPr>
          <w:headerReference r:id="rId8" w:type="default"/>
          <w:footerReference r:id="rId9" w:type="default"/>
          <w:pgSz w:w="11906" w:h="16838"/>
          <w:pgMar w:top="1418" w:right="1134" w:bottom="1134" w:left="1134" w:header="851" w:footer="992" w:gutter="284"/>
          <w:pgNumType w:start="1" w:chapStyle="1"/>
          <w:cols w:space="425" w:num="1"/>
          <w:docGrid w:linePitch="326" w:charSpace="0"/>
        </w:sectPr>
      </w:pPr>
    </w:p>
    <w:p w14:paraId="681D0C55">
      <w:pPr>
        <w:pStyle w:val="2"/>
      </w:pPr>
      <w:bookmarkStart w:id="16" w:name="_Toc14267550"/>
      <w:bookmarkStart w:id="17" w:name="_Toc8308257"/>
      <w:bookmarkStart w:id="18" w:name="_Toc8300442"/>
      <w:bookmarkStart w:id="19" w:name="_Toc8307349"/>
      <w:bookmarkStart w:id="20" w:name="_GoBack"/>
      <w:bookmarkEnd w:id="20"/>
      <w:r>
        <w:rPr>
          <w:rFonts w:hint="eastAsia"/>
        </w:rPr>
        <w:t>参考文献</w:t>
      </w:r>
      <w:bookmarkEnd w:id="16"/>
      <w:bookmarkEnd w:id="17"/>
      <w:bookmarkEnd w:id="18"/>
      <w:bookmarkEnd w:id="19"/>
    </w:p>
    <w:p w14:paraId="52E74E47">
      <w:pPr>
        <w:numPr>
          <w:ilvl w:val="0"/>
          <w:numId w:val="1"/>
        </w:numPr>
        <w:bidi w:val="0"/>
        <w:rPr>
          <w:rFonts w:hint="eastAsia" w:ascii="黑体" w:hAnsi="黑体" w:eastAsia="黑体" w:cs="黑体"/>
          <w:sz w:val="28"/>
          <w:szCs w:val="28"/>
        </w:rPr>
      </w:pPr>
      <w:r>
        <w:rPr>
          <w:rFonts w:hint="eastAsia" w:ascii="黑体" w:hAnsi="黑体" w:eastAsia="黑体" w:cs="黑体"/>
          <w:sz w:val="28"/>
          <w:szCs w:val="28"/>
        </w:rPr>
        <w:t>中国铁道科学研究院. CR400AF型动车组维修技术规程[S]. 北京: 中国铁道出版社, 2018.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w:t>
      </w:r>
      <w:r>
        <w:rPr>
          <w:rFonts w:hint="eastAsia" w:ascii="黑体" w:hAnsi="黑体" w:eastAsia="黑体" w:cs="黑体"/>
          <w:sz w:val="28"/>
          <w:szCs w:val="28"/>
          <w:lang w:val="en-US" w:eastAsia="zh-CN"/>
        </w:rPr>
        <w:t>2</w:t>
      </w:r>
      <w:r>
        <w:rPr>
          <w:rFonts w:hint="eastAsia" w:ascii="黑体" w:hAnsi="黑体" w:eastAsia="黑体" w:cs="黑体"/>
          <w:sz w:val="28"/>
          <w:szCs w:val="28"/>
        </w:rPr>
        <w:t>王建军, 李华. 高速列车车钩缓冲装置设计与仿真[J]. 铁道车辆, 2020, 58(5): 12-16.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.3</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Schindler C. Coupler Systems for High-Speed Trains[J]. Journal of Rail Engineering, 2019, 45(3): 45-52.  </w:t>
      </w:r>
      <w:r>
        <w:rPr>
          <w:rFonts w:hint="eastAsia" w:ascii="黑体" w:hAnsi="黑体" w:eastAsia="黑体" w:cs="黑体"/>
          <w:sz w:val="28"/>
          <w:szCs w:val="28"/>
        </w:rPr>
        <w:br w:type="textWrapping"/>
      </w:r>
      <w:r>
        <w:rPr>
          <w:rFonts w:hint="eastAsia" w:ascii="黑体" w:hAnsi="黑体" w:eastAsia="黑体" w:cs="黑体"/>
          <w:sz w:val="28"/>
          <w:szCs w:val="28"/>
          <w:lang w:val="en-US" w:eastAsia="zh-CN"/>
        </w:rPr>
        <w:t>8</w:t>
      </w:r>
      <w:r>
        <w:rPr>
          <w:rFonts w:hint="eastAsia" w:ascii="黑体" w:hAnsi="黑体" w:eastAsia="黑体" w:cs="黑体"/>
          <w:sz w:val="28"/>
          <w:szCs w:val="28"/>
        </w:rPr>
        <w:t>.4</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TB/T 456-2018, 车钩缓冲装置技术条件[S]. 北京: 中国铁道出版社, 2018.</w:t>
      </w:r>
    </w:p>
    <w:p w14:paraId="0F4BAA90"/>
    <w:sectPr>
      <w:pgSz w:w="11906" w:h="16838"/>
      <w:pgMar w:top="1418" w:right="1134" w:bottom="1134" w:left="1134" w:header="851" w:footer="992" w:gutter="284"/>
      <w:pgNumType w:chapStyle="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roma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F83A6">
    <w:pPr>
      <w:pStyle w:val="9"/>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docPartObj>
        <w:docPartGallery w:val="autotext"/>
      </w:docPartObj>
    </w:sdtPr>
    <w:sdtContent>
      <w:p w14:paraId="4D186215">
        <w:pPr>
          <w:pStyle w:val="9"/>
          <w:ind w:firstLine="360"/>
          <w:jc w:val="center"/>
        </w:pPr>
        <w:r>
          <w:fldChar w:fldCharType="begin"/>
        </w:r>
        <w:r>
          <w:instrText xml:space="preserve">PAGE   \* MERGEFORMAT</w:instrText>
        </w:r>
        <w:r>
          <w:fldChar w:fldCharType="separate"/>
        </w:r>
        <w:r>
          <w:t>III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7759894"/>
      <w:docPartObj>
        <w:docPartGallery w:val="autotext"/>
      </w:docPartObj>
    </w:sdtPr>
    <w:sdtContent>
      <w:p w14:paraId="5BED621A">
        <w:pPr>
          <w:pStyle w:val="9"/>
          <w:ind w:firstLine="360"/>
          <w:jc w:val="center"/>
        </w:pPr>
        <w:r>
          <w:fldChar w:fldCharType="begin"/>
        </w:r>
        <w:r>
          <w:instrText xml:space="preserve">PAGE   \* MERGEFORMAT</w:instrText>
        </w:r>
        <w:r>
          <w:fldChar w:fldCharType="separate"/>
        </w:r>
        <w:r>
          <w:rPr>
            <w:lang w:val="zh-CN"/>
          </w:rPr>
          <w:t>3</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0632B">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8401E">
    <w:pPr>
      <w:pStyle w:val="10"/>
      <w:ind w:firstLine="420"/>
      <w:rPr>
        <w:sz w:val="21"/>
        <w:szCs w:val="21"/>
      </w:rPr>
    </w:pPr>
    <w:r>
      <w:rPr>
        <w:rFonts w:hint="eastAsia"/>
        <w:sz w:val="21"/>
        <w:szCs w:val="21"/>
      </w:rPr>
      <w:t>北京大学学士学位论文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158130"/>
    <w:multiLevelType w:val="singleLevel"/>
    <w:tmpl w:val="2215813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DB51F2"/>
    <w:rsid w:val="22DB5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kern w:val="0"/>
      <w:sz w:val="24"/>
      <w:szCs w:val="22"/>
      <w:lang w:val="en-US" w:eastAsia="zh-CN" w:bidi="ar-SA"/>
    </w:rPr>
  </w:style>
  <w:style w:type="paragraph" w:styleId="2">
    <w:name w:val="heading 1"/>
    <w:basedOn w:val="1"/>
    <w:next w:val="1"/>
    <w:link w:val="14"/>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15"/>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16"/>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1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caption"/>
    <w:basedOn w:val="1"/>
    <w:next w:val="1"/>
    <w:qFormat/>
    <w:uiPriority w:val="0"/>
    <w:pPr>
      <w:widowControl w:val="0"/>
      <w:spacing w:before="60" w:after="60"/>
      <w:ind w:firstLine="0" w:firstLineChars="0"/>
    </w:pPr>
    <w:rPr>
      <w:kern w:val="2"/>
      <w:sz w:val="21"/>
      <w:szCs w:val="20"/>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Quote"/>
    <w:basedOn w:val="1"/>
    <w:next w:val="1"/>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14">
    <w:name w:val="标题 1 Char"/>
    <w:link w:val="2"/>
    <w:uiPriority w:val="0"/>
    <w:rPr>
      <w:rFonts w:ascii="黑体" w:hAnsi="宋体" w:eastAsia="黑体"/>
      <w:kern w:val="2"/>
      <w:sz w:val="30"/>
      <w:szCs w:val="20"/>
    </w:rPr>
  </w:style>
  <w:style w:type="character" w:customStyle="1" w:styleId="15">
    <w:name w:val="标题 2 Char"/>
    <w:link w:val="3"/>
    <w:uiPriority w:val="0"/>
    <w:rPr>
      <w:rFonts w:ascii="黑体" w:hAnsi="黑体" w:eastAsia="黑体"/>
      <w:kern w:val="2"/>
      <w:sz w:val="28"/>
      <w:szCs w:val="20"/>
    </w:rPr>
  </w:style>
  <w:style w:type="character" w:customStyle="1" w:styleId="16">
    <w:name w:val="标题 3 Char"/>
    <w:link w:val="4"/>
    <w:uiPriority w:val="0"/>
    <w:rPr>
      <w:rFonts w:ascii="黑体" w:hAnsi="黑体" w:eastAsia="黑体"/>
      <w:kern w:val="2"/>
      <w:sz w:val="26"/>
      <w:szCs w:val="20"/>
    </w:rPr>
  </w:style>
  <w:style w:type="character" w:customStyle="1" w:styleId="17">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2025-04-18T05:12:00Z</dcterms:created>
  <dc:creator>王辉</dc:creator>
  <cp:lastModifiedBy>王辉</cp:lastModifiedBy>
  <dcterms:modified xsi:type="dcterms:W3CDTF">2025-04-18T05:34:01Z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4007D5B8A0CD4A2D978A500FD3695902_11</vt:lpwstr>
  </property>
  <property fmtid="{D5CDD505-2E9C-101B-9397-08002B2CF9AE}" pid="4" name="KSOTemplateDocerSaveRecord">
    <vt:lpwstr>eyJoZGlkIjoiMDZhYjEzYmNjOTQ3YTY2N2NiNjU3NDg3ZmNlNjYyNzIiLCJ1c2VySWQiOiI2NjAzODA2NzYifQ==</vt:lpwstr>
  </property>
</Properties>
</file>