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A3B97">
      <w:pPr>
        <w:spacing w:before="0" w:after="120" w:line="360" w:lineRule="auto"/>
        <w:ind w:firstLine="0"/>
        <w:jc w:val="center"/>
      </w:pPr>
      <w:r>
        <w:rPr>
          <w:rFonts w:ascii="Arial" w:hAnsi="Arial" w:eastAsia="黑体" w:cs="Arial"/>
          <w:b/>
          <w:sz w:val="40"/>
        </w:rPr>
        <w:t>学灵伴 · 助学智能体技术设计说明书</w:t>
      </w:r>
    </w:p>
    <w:p w14:paraId="7CAA21BA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1. 设计目标</w:t>
      </w:r>
    </w:p>
    <w:p w14:paraId="501148BB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助学智能体是学灵伴的业务中枢。设计目标是在数字电子技术学科约束下，将多模态题面理解、任务规划、权威知识检索、工具增强求解与专业出图组织为一条可控制、可观测的执行链路。系统强调职责分离：大模型负责意图理解与综合表述，检索、绘图与记忆写入由注册工具完成；长任务通过计划与人在回路获得可控性，短任务保持低交互摩擦。</w:t>
      </w:r>
    </w:p>
    <w:p w14:paraId="0DE85E10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2. 运行时分层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685"/>
        <w:gridCol w:w="3118"/>
      </w:tblGrid>
      <w:tr w14:paraId="4E11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6EC249B4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逻辑层</w:t>
            </w:r>
          </w:p>
        </w:tc>
        <w:tc>
          <w:tcPr>
            <w:tcW w:w="3685" w:type="dxa"/>
          </w:tcPr>
          <w:p w14:paraId="55BBBCAD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职责</w:t>
            </w:r>
          </w:p>
        </w:tc>
        <w:tc>
          <w:tcPr>
            <w:tcW w:w="3118" w:type="dxa"/>
          </w:tcPr>
          <w:p w14:paraId="6BFF4EBC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不做</w:t>
            </w:r>
          </w:p>
        </w:tc>
      </w:tr>
      <w:tr w14:paraId="79AA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2ED6C9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感知层</w:t>
            </w:r>
          </w:p>
        </w:tc>
        <w:tc>
          <w:tcPr>
            <w:tcW w:w="3685" w:type="dxa"/>
          </w:tcPr>
          <w:p w14:paraId="463556D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文本、图像识读、课件正文归一为题面</w:t>
            </w:r>
          </w:p>
        </w:tc>
        <w:tc>
          <w:tcPr>
            <w:tcW w:w="3118" w:type="dxa"/>
          </w:tcPr>
          <w:p w14:paraId="7CE2EACE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工具选择、最终作答</w:t>
            </w:r>
          </w:p>
        </w:tc>
      </w:tr>
      <w:tr w14:paraId="605B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2FB9966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规划与路由层</w:t>
            </w:r>
          </w:p>
        </w:tc>
        <w:tc>
          <w:tcPr>
            <w:tcW w:w="3685" w:type="dxa"/>
          </w:tcPr>
          <w:p w14:paraId="652130C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意图判定、短/长路径决策、任务切片</w:t>
            </w:r>
          </w:p>
        </w:tc>
        <w:tc>
          <w:tcPr>
            <w:tcW w:w="3118" w:type="dxa"/>
          </w:tcPr>
          <w:p w14:paraId="5B42B16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具体渲染与向量检索细节</w:t>
            </w:r>
          </w:p>
        </w:tc>
      </w:tr>
      <w:tr w14:paraId="202E3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2B832B7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编排执行层</w:t>
            </w:r>
          </w:p>
        </w:tc>
        <w:tc>
          <w:tcPr>
            <w:tcW w:w="3685" w:type="dxa"/>
          </w:tcPr>
          <w:p w14:paraId="1BF9F54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解题图调度与 ReAct 工具循环</w:t>
            </w:r>
          </w:p>
        </w:tc>
        <w:tc>
          <w:tcPr>
            <w:tcW w:w="3118" w:type="dxa"/>
          </w:tcPr>
          <w:p w14:paraId="1C84252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擅自将检索结果升格为权威</w:t>
            </w:r>
          </w:p>
        </w:tc>
      </w:tr>
      <w:tr w14:paraId="11A3B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2979F8B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护栏与可观测</w:t>
            </w:r>
          </w:p>
        </w:tc>
        <w:tc>
          <w:tcPr>
            <w:tcW w:w="3685" w:type="dxa"/>
          </w:tcPr>
          <w:p w14:paraId="08900DC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配额、超时、熔断、轨迹与步骤事件</w:t>
            </w:r>
          </w:p>
        </w:tc>
        <w:tc>
          <w:tcPr>
            <w:tcW w:w="3118" w:type="dxa"/>
          </w:tcPr>
          <w:p w14:paraId="6304BD2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改写学科结论正文</w:t>
            </w:r>
          </w:p>
        </w:tc>
      </w:tr>
    </w:tbl>
    <w:p w14:paraId="790A4478"/>
    <w:p w14:paraId="3F029F41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记忆、工具与交付策略作为横切能力贯穿各层：短期会话保证多轮连贯，长期记忆与学情画像按需注入；交付层区分权威解答与 AI 参考解答。</w:t>
      </w:r>
    </w:p>
    <w:p w14:paraId="4A667EF4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3. 控制拓扑</w:t>
      </w:r>
    </w:p>
    <w:p w14:paraId="71169A92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系统采用双路径汇入单一执行内核的拓扑。外层负责任务形态控制，内层负责权威检索与工具增强作答；最终求解共享同一导师人格与同一工具注册表，避免规划与执行漂移。</w:t>
      </w:r>
    </w:p>
    <w:p w14:paraId="3622DDE4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路径 A  任务控制面</w:t>
      </w:r>
    </w:p>
    <w:p w14:paraId="1733C4FB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感知 → 意图路由</w:t>
      </w:r>
    </w:p>
    <w:p w14:paraId="1127348C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· 短路径 → 直接进入解题编排</w:t>
      </w:r>
    </w:p>
    <w:p w14:paraId="3D8D7ACA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· 长路径 → 任务清单确认 → 按原子任务进入解题编排</w:t>
      </w:r>
    </w:p>
    <w:p w14:paraId="5D9D1BFF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</w:t>
      </w:r>
    </w:p>
    <w:p w14:paraId="17C433A8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路径 B  解题编排面</w:t>
      </w:r>
    </w:p>
    <w:p w14:paraId="3C7EE558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归一 → 识读 → 决策 → 题库预取</w:t>
      </w:r>
    </w:p>
    <w:p w14:paraId="73780BBC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· 命中 → 权威交付</w:t>
      </w:r>
    </w:p>
    <w:p w14:paraId="016D52C6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· 未命中 → 知识锚定 → ReAct 求解 → 校验 → 回流裁决</w:t>
      </w:r>
    </w:p>
    <w:p w14:paraId="5592CDAF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</w:t>
      </w:r>
    </w:p>
    <w:p w14:paraId="57C3AC79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执行内核  聊天模型 + 系统规约 + 工具注册表 + 图执行器 + 断路器</w:t>
      </w:r>
    </w:p>
    <w:p w14:paraId="5E9E8636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4. 感知与输入通道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350"/>
      </w:tblGrid>
      <w:tr w14:paraId="37F7A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9EB8907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通道</w:t>
            </w:r>
          </w:p>
        </w:tc>
        <w:tc>
          <w:tcPr>
            <w:tcW w:w="6350" w:type="dxa"/>
          </w:tcPr>
          <w:p w14:paraId="4171F700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处理策略</w:t>
            </w:r>
          </w:p>
        </w:tc>
      </w:tr>
      <w:tr w14:paraId="343EE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5866C1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纯文本</w:t>
            </w:r>
          </w:p>
        </w:tc>
        <w:tc>
          <w:tcPr>
            <w:tcW w:w="6350" w:type="dxa"/>
          </w:tcPr>
          <w:p w14:paraId="692CA53E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直接作为题面进入路由与编排</w:t>
            </w:r>
          </w:p>
        </w:tc>
      </w:tr>
      <w:tr w14:paraId="64E4E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2F2A24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图像</w:t>
            </w:r>
          </w:p>
        </w:tc>
        <w:tc>
          <w:tcPr>
            <w:tcW w:w="6350" w:type="dxa"/>
          </w:tcPr>
          <w:p w14:paraId="2C3EFAC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多模态识读抽取题干；下游默认题面已可读，禁止否认可见性</w:t>
            </w:r>
          </w:p>
        </w:tc>
      </w:tr>
      <w:tr w14:paraId="36550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765281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docx / pdf / ppt</w:t>
            </w:r>
          </w:p>
        </w:tc>
        <w:tc>
          <w:tcPr>
            <w:tcW w:w="6350" w:type="dxa"/>
          </w:tcPr>
          <w:p w14:paraId="4C61AFB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抽取正文后参与意图路由与任务切片</w:t>
            </w:r>
          </w:p>
        </w:tc>
      </w:tr>
    </w:tbl>
    <w:p w14:paraId="5061BD88"/>
    <w:p w14:paraId="416174CE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感知层仅完成内容归一与规模估计。复合请求的原子化由路由层在长路径下完成；单回合执行规模设有上限，超额部分通过续跑推进。</w:t>
      </w:r>
    </w:p>
    <w:p w14:paraId="6B0795EE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5. 意图路由与双模式控制</w:t>
      </w:r>
    </w:p>
    <w:p w14:paraId="116E9B0A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5.1 设计动机</w:t>
      </w:r>
    </w:p>
    <w:p w14:paraId="2AC27479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单题答疑与整卷解析对时延、上下文预算与失败半径的要求不同。因此在进入解题内核前引入路由层，将请求映射为短路径或长路径，而不是用同一种交互形态覆盖全部场景。</w:t>
      </w:r>
    </w:p>
    <w:p w14:paraId="229F93F1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5.2 模式定义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288"/>
        <w:gridCol w:w="3515"/>
      </w:tblGrid>
      <w:tr w14:paraId="1E73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60062A2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模式</w:t>
            </w:r>
          </w:p>
        </w:tc>
        <w:tc>
          <w:tcPr>
            <w:tcW w:w="3288" w:type="dxa"/>
          </w:tcPr>
          <w:p w14:paraId="50334CC7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适用情境</w:t>
            </w:r>
          </w:p>
        </w:tc>
        <w:tc>
          <w:tcPr>
            <w:tcW w:w="3515" w:type="dxa"/>
          </w:tcPr>
          <w:p w14:paraId="274D449A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控制策略</w:t>
            </w:r>
          </w:p>
        </w:tc>
      </w:tr>
      <w:tr w14:paraId="7DFB8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3B0D886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react_short</w:t>
            </w:r>
          </w:p>
        </w:tc>
        <w:tc>
          <w:tcPr>
            <w:tcW w:w="3288" w:type="dxa"/>
          </w:tcPr>
          <w:p w14:paraId="083CBC8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寒暄、单点讲解、单题及少量原子任务</w:t>
            </w:r>
          </w:p>
        </w:tc>
        <w:tc>
          <w:tcPr>
            <w:tcW w:w="3515" w:type="dxa"/>
          </w:tcPr>
          <w:p w14:paraId="1FAE980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不强制确认，直接进入解题编排</w:t>
            </w:r>
          </w:p>
        </w:tc>
      </w:tr>
      <w:tr w14:paraId="6BF39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B8E46F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plan_execute</w:t>
            </w:r>
          </w:p>
        </w:tc>
        <w:tc>
          <w:tcPr>
            <w:tcW w:w="3288" w:type="dxa"/>
          </w:tcPr>
          <w:p w14:paraId="317939B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多题、整卷、长文档、大纲类复合任务</w:t>
            </w:r>
          </w:p>
        </w:tc>
        <w:tc>
          <w:tcPr>
            <w:tcW w:w="3515" w:type="dxa"/>
          </w:tcPr>
          <w:p w14:paraId="7C84F6C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任务清单经人在回路确认后串行执行，支持续跑</w:t>
            </w:r>
          </w:p>
        </w:tc>
      </w:tr>
    </w:tbl>
    <w:p w14:paraId="56CBED99"/>
    <w:p w14:paraId="6714D088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5.3 路由契约</w:t>
      </w:r>
    </w:p>
    <w:p w14:paraId="4DE91913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路由模型的输出契约为结构化结果：任务类型、执行模式、原子任务清单、容量裁决与安全阻断标记。路由阶段禁止解题、讲课或出图。解析失败时降级为整段单一任务，优先保证可用性。安全策略对越界请求执行阻断，阻止其进入工具链。</w:t>
      </w:r>
    </w:p>
    <w:p w14:paraId="2D63DF47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6. 解题编排图</w:t>
      </w:r>
    </w:p>
    <w:p w14:paraId="0AF2FE2D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解题过程以有状态图表达。每个节点承担单一职责，通过条件边实现权威短路与自研路径分支。</w:t>
      </w:r>
    </w:p>
    <w:p w14:paraId="0969DD28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normalize → ocr_or_text → decide → scope_task → bank_prefetch</w:t>
      </w:r>
    </w:p>
    <w:p w14:paraId="62EEFC77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├─ 命中 → bank_done → 权威交付</w:t>
      </w:r>
    </w:p>
    <w:p w14:paraId="66A39FE1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└─ 未命中 → kg_ground → ai_solve → validate → 回流 / 跳过回流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066"/>
      </w:tblGrid>
      <w:tr w14:paraId="677D4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1AA2D3CD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节点</w:t>
            </w:r>
          </w:p>
        </w:tc>
        <w:tc>
          <w:tcPr>
            <w:tcW w:w="6066" w:type="dxa"/>
          </w:tcPr>
          <w:p w14:paraId="7C042D3E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职责</w:t>
            </w:r>
          </w:p>
        </w:tc>
      </w:tr>
      <w:tr w14:paraId="3732D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6048329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normalize / ocr_or_text</w:t>
            </w:r>
          </w:p>
        </w:tc>
        <w:tc>
          <w:tcPr>
            <w:tcW w:w="6066" w:type="dxa"/>
          </w:tcPr>
          <w:p w14:paraId="1F4BE2D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统一题面与来源，完成图像识读合并</w:t>
            </w:r>
          </w:p>
        </w:tc>
      </w:tr>
      <w:tr w14:paraId="79064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7F8FD8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decide</w:t>
            </w:r>
          </w:p>
        </w:tc>
        <w:tc>
          <w:tcPr>
            <w:tcW w:w="6066" w:type="dxa"/>
          </w:tcPr>
          <w:p w14:paraId="47D0A16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产出轻量意图与步骤标记，不直接撰写最终答卷</w:t>
            </w:r>
          </w:p>
        </w:tc>
      </w:tr>
      <w:tr w14:paraId="177D5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E1ECF4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bank_prefetch</w:t>
            </w:r>
          </w:p>
        </w:tc>
        <w:tc>
          <w:tcPr>
            <w:tcW w:w="6066" w:type="dxa"/>
          </w:tcPr>
          <w:p w14:paraId="055BFCF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解题意图下预取题库；命中则权威短路</w:t>
            </w:r>
          </w:p>
        </w:tc>
      </w:tr>
      <w:tr w14:paraId="07E01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075C1B2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kg_ground</w:t>
            </w:r>
          </w:p>
        </w:tc>
        <w:tc>
          <w:tcPr>
            <w:tcW w:w="6066" w:type="dxa"/>
          </w:tcPr>
          <w:p w14:paraId="4049135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按需注入知识图谱上下文</w:t>
            </w:r>
          </w:p>
        </w:tc>
      </w:tr>
      <w:tr w14:paraId="2B601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18EE525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ai_solve</w:t>
            </w:r>
          </w:p>
        </w:tc>
        <w:tc>
          <w:tcPr>
            <w:tcW w:w="6066" w:type="dxa"/>
          </w:tcPr>
          <w:p w14:paraId="0C4FE52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进入导师内核的工具增强求解</w:t>
            </w:r>
          </w:p>
        </w:tc>
      </w:tr>
      <w:tr w14:paraId="41CAB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2D47A1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validate / reflow</w:t>
            </w:r>
          </w:p>
        </w:tc>
        <w:tc>
          <w:tcPr>
            <w:tcW w:w="6066" w:type="dxa"/>
          </w:tcPr>
          <w:p w14:paraId="0020473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校验交付质量；裁决是否进入内容回流</w:t>
            </w:r>
          </w:p>
        </w:tc>
      </w:tr>
    </w:tbl>
    <w:p w14:paraId="7157B87C"/>
    <w:p w14:paraId="0F8C7F1C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题库预取位于自研循环之前，避免与工具内重复搜库。交付语义区分权威解答与 AI 参考解答；适合沉淀的未命中题目进入回流队列，经管理审核后入库。</w:t>
      </w:r>
    </w:p>
    <w:p w14:paraId="139CC5C3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7. 导师内核与护栏</w:t>
      </w:r>
    </w:p>
    <w:p w14:paraId="0454704C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导师内核由聊天模型、系统规约、工具注册表与执行器组成。系统规约定义数电助教人格、场景边界、题库使用约定、工具清单与绘图占位规则；用户侧注入题面、预检索说明、记忆摘要与图谱上下文等原始材料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633"/>
      </w:tblGrid>
      <w:tr w14:paraId="3C167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453DFC4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护栏维度</w:t>
            </w:r>
          </w:p>
        </w:tc>
        <w:tc>
          <w:tcPr>
            <w:tcW w:w="6633" w:type="dxa"/>
          </w:tcPr>
          <w:p w14:paraId="2A8BBAA3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策略</w:t>
            </w:r>
          </w:p>
        </w:tc>
      </w:tr>
      <w:tr w14:paraId="68C9D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DBEFAA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迭代深度</w:t>
            </w:r>
          </w:p>
        </w:tc>
        <w:tc>
          <w:tcPr>
            <w:tcW w:w="6633" w:type="dxa"/>
          </w:tcPr>
          <w:p w14:paraId="035C3B2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限制工具循环步数</w:t>
            </w:r>
          </w:p>
        </w:tc>
      </w:tr>
      <w:tr w14:paraId="6473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B12E2D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时间预算</w:t>
            </w:r>
          </w:p>
        </w:tc>
        <w:tc>
          <w:tcPr>
            <w:tcW w:w="6633" w:type="dxa"/>
          </w:tcPr>
          <w:p w14:paraId="0364D98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墙钟超时与空闲超时</w:t>
            </w:r>
          </w:p>
        </w:tc>
      </w:tr>
      <w:tr w14:paraId="499C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561F93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工具配额</w:t>
            </w:r>
          </w:p>
        </w:tc>
        <w:tc>
          <w:tcPr>
            <w:tcW w:w="6633" w:type="dxa"/>
          </w:tcPr>
          <w:p w14:paraId="09EAFF7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绘图、教材检索、题库搜索分别计数熔断</w:t>
            </w:r>
          </w:p>
        </w:tc>
      </w:tr>
      <w:tr w14:paraId="59338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A26EAB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重复动作</w:t>
            </w:r>
          </w:p>
        </w:tc>
        <w:tc>
          <w:tcPr>
            <w:tcW w:w="6633" w:type="dxa"/>
          </w:tcPr>
          <w:p w14:paraId="6441DB9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同名同参连续重复触发断路</w:t>
            </w:r>
          </w:p>
        </w:tc>
      </w:tr>
      <w:tr w14:paraId="26FEE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93F46D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输出规模</w:t>
            </w:r>
          </w:p>
        </w:tc>
        <w:tc>
          <w:tcPr>
            <w:tcW w:w="6633" w:type="dxa"/>
          </w:tcPr>
          <w:p w14:paraId="2241212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限制最大输出，抑制生成坍缩</w:t>
            </w:r>
          </w:p>
        </w:tc>
      </w:tr>
    </w:tbl>
    <w:p w14:paraId="2381704F"/>
    <w:p w14:paraId="1F371F12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执行过程以流式状态事件向客户端呈现步骤进展；完整轨迹可供管理侧运维复盘。护栏默认不改写学科结论，只决定是否停止或降级交付。</w:t>
      </w:r>
    </w:p>
    <w:p w14:paraId="60AAF797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8. 工具注册表</w:t>
      </w:r>
    </w:p>
    <w:p w14:paraId="43EA0C4A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下列工具构成导师智能体的全部外部能力面。绘图能力收敛为单一门面，降低工具选择歧义。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236"/>
      </w:tblGrid>
      <w:tr w14:paraId="0A4BD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9DC49BE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工具</w:t>
            </w:r>
          </w:p>
        </w:tc>
        <w:tc>
          <w:tcPr>
            <w:tcW w:w="6236" w:type="dxa"/>
          </w:tcPr>
          <w:p w14:paraId="0EAB3CEB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能力说明</w:t>
            </w:r>
          </w:p>
        </w:tc>
      </w:tr>
      <w:tr w14:paraId="1824F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4BA394F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draw_with_workflow</w:t>
            </w:r>
          </w:p>
        </w:tc>
        <w:tc>
          <w:tcPr>
            <w:tcW w:w="6236" w:type="dxa"/>
          </w:tcPr>
          <w:p w14:paraId="0A62D61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按图类生成并校验中间表示，交确定性引擎输出 SVG；答案以占位符绑定产物</w:t>
            </w:r>
          </w:p>
        </w:tc>
      </w:tr>
      <w:tr w14:paraId="24B79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2497135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search_question_bank</w:t>
            </w:r>
          </w:p>
        </w:tc>
        <w:tc>
          <w:tcPr>
            <w:tcW w:w="6236" w:type="dxa"/>
          </w:tcPr>
          <w:p w14:paraId="40BC086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题库原题检索；仅高置信且通过同题校验时返回权威内容</w:t>
            </w:r>
          </w:p>
        </w:tc>
      </w:tr>
      <w:tr w14:paraId="4D52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1C3E58CE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retrieve_multi_rerank</w:t>
            </w:r>
          </w:p>
        </w:tc>
        <w:tc>
          <w:tcPr>
            <w:tcW w:w="6236" w:type="dxa"/>
          </w:tcPr>
          <w:p w14:paraId="0158E1C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教材多路召回与精排；插图以可溯源占位进入上下文</w:t>
            </w:r>
          </w:p>
        </w:tc>
      </w:tr>
      <w:tr w14:paraId="484A5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1579AAC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graph_query</w:t>
            </w:r>
          </w:p>
        </w:tc>
        <w:tc>
          <w:tcPr>
            <w:tcW w:w="6236" w:type="dxa"/>
          </w:tcPr>
          <w:p w14:paraId="5A5E78F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查询前置路径、关联链路与相关练习线索</w:t>
            </w:r>
          </w:p>
        </w:tc>
      </w:tr>
      <w:tr w14:paraId="1F1CB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196D5FA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read_profile</w:t>
            </w:r>
          </w:p>
        </w:tc>
        <w:tc>
          <w:tcPr>
            <w:tcW w:w="6236" w:type="dxa"/>
          </w:tcPr>
          <w:p w14:paraId="4A5CEBE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读取学情聚合画像</w:t>
            </w:r>
          </w:p>
        </w:tc>
      </w:tr>
      <w:tr w14:paraId="5C58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FBF67E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memory_search</w:t>
            </w:r>
          </w:p>
        </w:tc>
        <w:tc>
          <w:tcPr>
            <w:tcW w:w="6236" w:type="dxa"/>
          </w:tcPr>
          <w:p w14:paraId="362CB54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检索长期记忆以支持个性化</w:t>
            </w:r>
          </w:p>
        </w:tc>
      </w:tr>
      <w:tr w14:paraId="18771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0C6D828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memory_upsert</w:t>
            </w:r>
          </w:p>
        </w:tc>
        <w:tc>
          <w:tcPr>
            <w:tcW w:w="6236" w:type="dxa"/>
          </w:tcPr>
          <w:p w14:paraId="4D88451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写入偏好、易错点与笔记等记忆</w:t>
            </w:r>
          </w:p>
        </w:tc>
      </w:tr>
      <w:tr w14:paraId="33CF7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621545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memory_forget</w:t>
            </w:r>
          </w:p>
        </w:tc>
        <w:tc>
          <w:tcPr>
            <w:tcW w:w="6236" w:type="dxa"/>
          </w:tcPr>
          <w:p w14:paraId="257CA52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按用户请求软删除记忆</w:t>
            </w:r>
          </w:p>
        </w:tc>
      </w:tr>
    </w:tbl>
    <w:p w14:paraId="16B0E38C"/>
    <w:p w14:paraId="47086CEF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9. 绘图工作流</w:t>
      </w:r>
    </w:p>
    <w:p w14:paraId="160FD06D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9.1 定位</w:t>
      </w:r>
    </w:p>
    <w:p w14:paraId="484A8683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绘图是解题编排的附属能力：正确性依赖结构化中间表示与校验重试，渲染交给确定性引擎。工作流不面向独立 CAD 产品形态，而服务于教材级图示表达。</w:t>
      </w:r>
    </w:p>
    <w:p w14:paraId="33D618C1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9.2 处理流水线</w:t>
      </w:r>
    </w:p>
    <w:p w14:paraId="7451BE20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调用 draw_with_workflow(brief, kind?, slots?, script?, retries)</w:t>
      </w:r>
    </w:p>
    <w:p w14:paraId="744721F3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→ 解析图类（显式参数 / 槽位 / 题意关键词）</w:t>
      </w:r>
    </w:p>
    <w:p w14:paraId="0BDC91A5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→ 获取 IR（显式脚本 → 完备槽位 → 确定性回退 → Skill 引导生成）</w:t>
      </w:r>
    </w:p>
    <w:p w14:paraId="4475E518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→ 结构校验 → 渲染 SVG</w:t>
      </w:r>
    </w:p>
    <w:p w14:paraId="700E4439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→ 失败则反馈错误并在有限次数内重试</w:t>
      </w:r>
    </w:p>
    <w:p w14:paraId="604EEA03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→ 成功则返回产物元数据；答案使用 DRAW 占位绑定 URL</w:t>
      </w:r>
    </w:p>
    <w:p w14:paraId="4774D0C3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9.3 图类目录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835"/>
        <w:gridCol w:w="3402"/>
      </w:tblGrid>
      <w:tr w14:paraId="6FA5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6D92E1B6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图类</w:t>
            </w:r>
          </w:p>
        </w:tc>
        <w:tc>
          <w:tcPr>
            <w:tcW w:w="2835" w:type="dxa"/>
          </w:tcPr>
          <w:p w14:paraId="295E2871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用途</w:t>
            </w:r>
          </w:p>
        </w:tc>
        <w:tc>
          <w:tcPr>
            <w:tcW w:w="3402" w:type="dxa"/>
          </w:tcPr>
          <w:p w14:paraId="7DC492A3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路径要点</w:t>
            </w:r>
          </w:p>
        </w:tc>
      </w:tr>
      <w:tr w14:paraId="031B8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7D6C307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logic_dag</w:t>
            </w:r>
          </w:p>
        </w:tc>
        <w:tc>
          <w:tcPr>
            <w:tcW w:w="2835" w:type="dxa"/>
          </w:tcPr>
          <w:p w14:paraId="33CE7DF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门级逻辑与表达式</w:t>
            </w:r>
          </w:p>
        </w:tc>
        <w:tc>
          <w:tcPr>
            <w:tcW w:w="3402" w:type="dxa"/>
          </w:tcPr>
          <w:p w14:paraId="4106F02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逻辑 IR → netlistsvg</w:t>
            </w:r>
          </w:p>
        </w:tc>
      </w:tr>
      <w:tr w14:paraId="32B4A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70DA044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timing_wave</w:t>
            </w:r>
          </w:p>
        </w:tc>
        <w:tc>
          <w:tcPr>
            <w:tcW w:w="2835" w:type="dxa"/>
          </w:tcPr>
          <w:p w14:paraId="4DBCF75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时序波形</w:t>
            </w:r>
          </w:p>
        </w:tc>
        <w:tc>
          <w:tcPr>
            <w:tcW w:w="3402" w:type="dxa"/>
          </w:tcPr>
          <w:p w14:paraId="562DE54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波形 IR → 专用渲染</w:t>
            </w:r>
          </w:p>
        </w:tc>
      </w:tr>
      <w:tr w14:paraId="24FE2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2F457AA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state_machine</w:t>
            </w:r>
          </w:p>
        </w:tc>
        <w:tc>
          <w:tcPr>
            <w:tcW w:w="2835" w:type="dxa"/>
          </w:tcPr>
          <w:p w14:paraId="2C212E2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状态转换</w:t>
            </w:r>
          </w:p>
        </w:tc>
        <w:tc>
          <w:tcPr>
            <w:tcW w:w="3402" w:type="dxa"/>
          </w:tcPr>
          <w:p w14:paraId="6F311A3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状态 IR → 专用渲染</w:t>
            </w:r>
          </w:p>
        </w:tc>
      </w:tr>
      <w:tr w14:paraId="04E1F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773DCF0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truth_table / kmap / seven_seg</w:t>
            </w:r>
          </w:p>
        </w:tc>
        <w:tc>
          <w:tcPr>
            <w:tcW w:w="2835" w:type="dxa"/>
          </w:tcPr>
          <w:p w14:paraId="77535FA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真值表、卡诺图、七段</w:t>
            </w:r>
          </w:p>
        </w:tc>
        <w:tc>
          <w:tcPr>
            <w:tcW w:w="3402" w:type="dxa"/>
          </w:tcPr>
          <w:p w14:paraId="0A52A96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参数化绘制</w:t>
            </w:r>
          </w:p>
        </w:tc>
      </w:tr>
      <w:tr w14:paraId="0079F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7880EEE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char_curve</w:t>
            </w:r>
          </w:p>
        </w:tc>
        <w:tc>
          <w:tcPr>
            <w:tcW w:w="2835" w:type="dxa"/>
          </w:tcPr>
          <w:p w14:paraId="2B5CED9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传输特性曲线</w:t>
            </w:r>
          </w:p>
        </w:tc>
        <w:tc>
          <w:tcPr>
            <w:tcW w:w="3402" w:type="dxa"/>
          </w:tcPr>
          <w:p w14:paraId="3468597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科学绘图</w:t>
            </w:r>
          </w:p>
        </w:tc>
      </w:tr>
      <w:tr w14:paraId="1F741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2336003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msi_design</w:t>
            </w:r>
          </w:p>
        </w:tc>
        <w:tc>
          <w:tcPr>
            <w:tcW w:w="2835" w:type="dxa"/>
          </w:tcPr>
          <w:p w14:paraId="06B864B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中规模器件设计电路</w:t>
            </w:r>
          </w:p>
        </w:tc>
        <w:tc>
          <w:tcPr>
            <w:tcW w:w="3402" w:type="dxa"/>
          </w:tcPr>
          <w:p w14:paraId="2A17E13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逻辑先行校验 → 电路渲染</w:t>
            </w:r>
          </w:p>
        </w:tc>
      </w:tr>
    </w:tbl>
    <w:p w14:paraId="08133AC1"/>
    <w:p w14:paraId="502A25C8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芯片搭接、置零/加载、555、DAC、模 N 计数等走设计电路图类；门级表达式与基本门实现走逻辑符号图类。设计电路扩展点位于器件引脚库。会话级绘图调用受配额约束；题面要求出图而产物缺失时，收尾阶段可再次进入同一工作流补全。</w:t>
      </w:r>
    </w:p>
    <w:p w14:paraId="55EC500C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10. 记忆体系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130E1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32F20E94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层次</w:t>
            </w:r>
          </w:p>
        </w:tc>
        <w:tc>
          <w:tcPr>
            <w:tcW w:w="6803" w:type="dxa"/>
          </w:tcPr>
          <w:p w14:paraId="15ED39AE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机制</w:t>
            </w:r>
          </w:p>
        </w:tc>
      </w:tr>
      <w:tr w14:paraId="4E279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573EADB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短期会话</w:t>
            </w:r>
          </w:p>
        </w:tc>
        <w:tc>
          <w:tcPr>
            <w:tcW w:w="6803" w:type="dxa"/>
          </w:tcPr>
          <w:p w14:paraId="44B6F6E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服务端消息为权威历史，支撑多轮对话</w:t>
            </w:r>
          </w:p>
        </w:tc>
      </w:tr>
      <w:tr w14:paraId="03398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5DA5A2A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长期记忆</w:t>
            </w:r>
          </w:p>
        </w:tc>
        <w:tc>
          <w:tcPr>
            <w:tcW w:w="6803" w:type="dxa"/>
          </w:tcPr>
          <w:p w14:paraId="25874A1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经 memory_* 工具读写，跨会话复用</w:t>
            </w:r>
          </w:p>
        </w:tc>
      </w:tr>
      <w:tr w14:paraId="19EF0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B7044E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学情画像</w:t>
            </w:r>
          </w:p>
        </w:tc>
        <w:tc>
          <w:tcPr>
            <w:tcW w:w="6803" w:type="dxa"/>
          </w:tcPr>
          <w:p w14:paraId="1E5FCEE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批处理聚合掌握度与薄弱点，供工具与练习消费</w:t>
            </w:r>
          </w:p>
        </w:tc>
      </w:tr>
    </w:tbl>
    <w:p w14:paraId="4B4CE1D1"/>
    <w:p w14:paraId="64956F7A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11. 典型运行时序</w:t>
      </w:r>
    </w:p>
    <w:p w14:paraId="16FB0B03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感知完成题面归一，路由判定任务模式。</w:t>
      </w:r>
    </w:p>
    <w:p w14:paraId="5030CB7C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长路径生成任务清单并完成人在回路确认；短路径直接进入解题编排。</w:t>
      </w:r>
    </w:p>
    <w:p w14:paraId="528A879A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题库预取命中则权威交付；否则知识锚定并进入工具增强求解与出图。</w:t>
      </w:r>
    </w:p>
    <w:p w14:paraId="047B462F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校验后按策略回流；超额任务通过续跑继续推进。</w:t>
      </w:r>
    </w:p>
    <w:p w14:paraId="49862401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会话与学情沉淀；回流内容经审核进入题库，提升后续检索命中质量。</w:t>
      </w:r>
    </w:p>
    <w:p w14:paraId="44912AAB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12. 小结</w:t>
      </w:r>
    </w:p>
    <w:p w14:paraId="1DF138C8">
      <w:pPr>
        <w:spacing w:before="0" w:after="120" w:line="360" w:lineRule="auto"/>
        <w:ind w:firstLine="42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sz w:val="24"/>
        </w:rPr>
        <w:t>助学智能体通过分层运行时、双模式任务控制、权威优先的解题编排、收敛的工具注册表与教材级绘图工作流，将学科垂类模型能力组织为可控制、可审计、可经营的助学执行系统。其价值不在于单次生成的长度，而在于把「读懂—规划—检索—作答—出图—沉淀」固化为稳定的工程闭环</w:t>
      </w:r>
      <w:r>
        <w:rPr>
          <w:rFonts w:hint="eastAsia" w:ascii="Times New Roman" w:hAnsi="Times New Roman" w:eastAsia="宋体" w:cs="Times New Roman"/>
          <w:b w:val="0"/>
          <w:sz w:val="24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D30108"/>
    <w:rsid w:val="6C24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2471</Words>
  <Characters>2944</Characters>
  <Lines>0</Lines>
  <Paragraphs>0</Paragraphs>
  <TotalTime>0</TotalTime>
  <ScaleCrop>false</ScaleCrop>
  <LinksUpToDate>false</LinksUpToDate>
  <CharactersWithSpaces>3144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WPS_1527926299</cp:lastModifiedBy>
  <dcterms:modified xsi:type="dcterms:W3CDTF">2026-09-11T04:43:59Z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eyJoZGlkIjoiZGI4NzBkNGM4YmMzNWI1NGZhYmI1ZWFkYTBjZWY2NTgiLCJ1c2VySWQiOiIzNzU1Mzg5NTYifQ==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360198C47FE84B839BCBAFED2F4FE7E2_12</vt:lpwstr>
  </property>
</Properties>
</file>