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86852">
      <w:pPr>
        <w:spacing w:before="0" w:after="120" w:line="360" w:lineRule="auto"/>
        <w:ind w:firstLine="0"/>
        <w:jc w:val="center"/>
        <w:rPr>
          <w:rFonts w:ascii="Arial" w:hAnsi="Arial" w:eastAsia="黑体" w:cs="Arial"/>
          <w:b/>
          <w:sz w:val="36"/>
        </w:rPr>
      </w:pPr>
      <w:r>
        <w:rPr>
          <w:rFonts w:ascii="Arial" w:hAnsi="Arial" w:eastAsia="黑体" w:cs="Arial"/>
          <w:b/>
          <w:sz w:val="36"/>
        </w:rPr>
        <w:t>系统技术架构说明书</w:t>
      </w:r>
    </w:p>
    <w:p w14:paraId="757A7E78">
      <w:pPr>
        <w:spacing w:before="0" w:after="80" w:line="360" w:lineRule="auto"/>
        <w:ind w:firstLine="0"/>
        <w:jc w:val="center"/>
        <w:rPr>
          <w:rFonts w:ascii="Arial" w:hAnsi="Arial" w:eastAsia="黑体" w:cs="Arial"/>
          <w:b/>
          <w:sz w:val="36"/>
        </w:rPr>
      </w:pPr>
      <w:r>
        <w:rPr>
          <w:rFonts w:ascii="Arial" w:hAnsi="Arial" w:eastAsia="黑体" w:cs="Arial"/>
          <w:b/>
          <w:sz w:val="32"/>
          <w:szCs w:val="15"/>
        </w:rPr>
        <w:t>学灵伴</w:t>
      </w:r>
      <w:r>
        <w:rPr>
          <w:rFonts w:hint="eastAsia" w:ascii="Arial" w:hAnsi="Arial" w:eastAsia="黑体" w:cs="Arial"/>
          <w:b/>
          <w:sz w:val="32"/>
          <w:szCs w:val="15"/>
          <w:lang w:val="en-US" w:eastAsia="zh-CN"/>
        </w:rPr>
        <w:t>·</w:t>
      </w:r>
      <w:r>
        <w:rPr>
          <w:rFonts w:ascii="Times New Roman" w:hAnsi="Times New Roman" w:eastAsia="楷体" w:cs="Times New Roman"/>
          <w:b w:val="0"/>
          <w:sz w:val="36"/>
          <w:szCs w:val="32"/>
        </w:rPr>
        <w:t>数字电子技术 · 单学科教育智能体</w:t>
      </w:r>
    </w:p>
    <w:p w14:paraId="156DE5ED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1. 引言与目标</w:t>
      </w:r>
    </w:p>
    <w:p w14:paraId="57248B9F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1.1 系统定位</w:t>
      </w:r>
    </w:p>
    <w:p w14:paraId="238CAEBC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学灵伴是面向高等教育《数字电子技术》课程的学科垂类智能应用。系统以助学智能体为业务中枢，在教材知识、题库与专业绘图工具的约束下，为学生提供伴随式问答、解题讲解、学情驱动练习与错题管理；同时通过管理控制台完成题库经营、内容回流审核与班级学情分析。架构设计的核心命题不是「接入一个大模型」，而是将学科规范、可信知识与可编排工作流固化为可运营的助学系统。</w:t>
      </w:r>
    </w:p>
    <w:p w14:paraId="3AB3C8D5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1.2 质量目标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84"/>
        <w:gridCol w:w="5386"/>
      </w:tblGrid>
      <w:tr w14:paraId="5CA47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EEAE6F1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优先级</w:t>
            </w:r>
          </w:p>
        </w:tc>
        <w:tc>
          <w:tcPr>
            <w:tcW w:w="1984" w:type="dxa"/>
          </w:tcPr>
          <w:p w14:paraId="57AEDB3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质量目标</w:t>
            </w:r>
          </w:p>
        </w:tc>
        <w:tc>
          <w:tcPr>
            <w:tcW w:w="5386" w:type="dxa"/>
          </w:tcPr>
          <w:p w14:paraId="76AC0665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架构含义</w:t>
            </w:r>
          </w:p>
        </w:tc>
      </w:tr>
      <w:tr w14:paraId="1E0A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2CDAC3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高</w:t>
            </w:r>
          </w:p>
        </w:tc>
        <w:tc>
          <w:tcPr>
            <w:tcW w:w="1984" w:type="dxa"/>
          </w:tcPr>
          <w:p w14:paraId="237379E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学科可信</w:t>
            </w:r>
          </w:p>
        </w:tc>
        <w:tc>
          <w:tcPr>
            <w:tcW w:w="5386" w:type="dxa"/>
          </w:tcPr>
          <w:p w14:paraId="1C4BA41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题库权威路径优先；AI 生成与权威内容分轨交付；关键结论可溯源</w:t>
            </w:r>
          </w:p>
        </w:tc>
      </w:tr>
      <w:tr w14:paraId="0F86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CB8A2D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高</w:t>
            </w:r>
          </w:p>
        </w:tc>
        <w:tc>
          <w:tcPr>
            <w:tcW w:w="1984" w:type="dxa"/>
          </w:tcPr>
          <w:p w14:paraId="7331BB0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复杂任务可控</w:t>
            </w:r>
          </w:p>
        </w:tc>
        <w:tc>
          <w:tcPr>
            <w:tcW w:w="5386" w:type="dxa"/>
          </w:tcPr>
          <w:p w14:paraId="4AFA33D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长任务计划化与人在回路确认；工具调用受配额与超时约束</w:t>
            </w:r>
          </w:p>
        </w:tc>
      </w:tr>
      <w:tr w14:paraId="0FE3F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492FFE0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高</w:t>
            </w:r>
          </w:p>
        </w:tc>
        <w:tc>
          <w:tcPr>
            <w:tcW w:w="1984" w:type="dxa"/>
          </w:tcPr>
          <w:p w14:paraId="03230CE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专业表达完备</w:t>
            </w:r>
          </w:p>
        </w:tc>
        <w:tc>
          <w:tcPr>
            <w:tcW w:w="5386" w:type="dxa"/>
          </w:tcPr>
          <w:p w14:paraId="32E19F8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数电图类经结构化中间表示与确定性渲染，而非自由矢量涂鸦</w:t>
            </w:r>
          </w:p>
        </w:tc>
      </w:tr>
      <w:tr w14:paraId="45AE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7DC06A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中</w:t>
            </w:r>
          </w:p>
        </w:tc>
        <w:tc>
          <w:tcPr>
            <w:tcW w:w="1984" w:type="dxa"/>
          </w:tcPr>
          <w:p w14:paraId="57D3594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可观测可运维</w:t>
            </w:r>
          </w:p>
        </w:tc>
        <w:tc>
          <w:tcPr>
            <w:tcW w:w="5386" w:type="dxa"/>
          </w:tcPr>
          <w:p w14:paraId="48D2942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执行轨迹可追踪；熔断与降级路径明确</w:t>
            </w:r>
          </w:p>
        </w:tc>
      </w:tr>
      <w:tr w14:paraId="3BBA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8C45E3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中</w:t>
            </w:r>
          </w:p>
        </w:tc>
        <w:tc>
          <w:tcPr>
            <w:tcW w:w="1984" w:type="dxa"/>
          </w:tcPr>
          <w:p w14:paraId="395A969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可部署可复现</w:t>
            </w:r>
          </w:p>
        </w:tc>
        <w:tc>
          <w:tcPr>
            <w:tcW w:w="5386" w:type="dxa"/>
          </w:tcPr>
          <w:p w14:paraId="653F013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容器化交付；知识灌库与运行时依赖可说明</w:t>
            </w:r>
          </w:p>
        </w:tc>
      </w:tr>
    </w:tbl>
    <w:p w14:paraId="0AAD5776"/>
    <w:p w14:paraId="06F842E4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1.3 干系人视角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798"/>
      </w:tblGrid>
      <w:tr w14:paraId="2D002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1171BC1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角色</w:t>
            </w:r>
          </w:p>
        </w:tc>
        <w:tc>
          <w:tcPr>
            <w:tcW w:w="3118" w:type="dxa"/>
          </w:tcPr>
          <w:p w14:paraId="5EF4E380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主要诉求</w:t>
            </w:r>
          </w:p>
        </w:tc>
        <w:tc>
          <w:tcPr>
            <w:tcW w:w="3798" w:type="dxa"/>
          </w:tcPr>
          <w:p w14:paraId="447F237F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系统响应</w:t>
            </w:r>
          </w:p>
        </w:tc>
      </w:tr>
      <w:tr w14:paraId="2C9D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1F07BC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学生</w:t>
            </w:r>
          </w:p>
        </w:tc>
        <w:tc>
          <w:tcPr>
            <w:tcW w:w="3118" w:type="dxa"/>
          </w:tcPr>
          <w:p w14:paraId="33C4FD4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问得懂、解得对、图画得规范</w:t>
            </w:r>
          </w:p>
        </w:tc>
        <w:tc>
          <w:tcPr>
            <w:tcW w:w="3798" w:type="dxa"/>
          </w:tcPr>
          <w:p w14:paraId="31690F7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双模式对话、权威/参考分级、绘图工作流</w:t>
            </w:r>
          </w:p>
        </w:tc>
      </w:tr>
      <w:tr w14:paraId="0A5C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A5F7D4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教师管理员</w:t>
            </w:r>
          </w:p>
        </w:tc>
        <w:tc>
          <w:tcPr>
            <w:tcW w:w="3118" w:type="dxa"/>
          </w:tcPr>
          <w:p w14:paraId="7F7AD8F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题库可经营、班级学情可见</w:t>
            </w:r>
          </w:p>
        </w:tc>
        <w:tc>
          <w:tcPr>
            <w:tcW w:w="3798" w:type="dxa"/>
          </w:tcPr>
          <w:p w14:paraId="7D98063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管理控制台：题库、回流、班级、学情导出</w:t>
            </w:r>
          </w:p>
        </w:tc>
      </w:tr>
      <w:tr w14:paraId="2285D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7AC2DC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技术评审</w:t>
            </w:r>
          </w:p>
        </w:tc>
        <w:tc>
          <w:tcPr>
            <w:tcW w:w="3118" w:type="dxa"/>
          </w:tcPr>
          <w:p w14:paraId="1F3E450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架构清晰、可演进</w:t>
            </w:r>
          </w:p>
        </w:tc>
        <w:tc>
          <w:tcPr>
            <w:tcW w:w="3798" w:type="dxa"/>
          </w:tcPr>
          <w:p w14:paraId="55D677F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本文：上下文、构件、运行时、决策与展望</w:t>
            </w:r>
          </w:p>
        </w:tc>
      </w:tr>
    </w:tbl>
    <w:p w14:paraId="7650EE7B"/>
    <w:p w14:paraId="32990882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2. 约束与阶段聚焦</w:t>
      </w:r>
    </w:p>
    <w:p w14:paraId="49B33FA9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2.1 阶段聚焦</w:t>
      </w:r>
    </w:p>
    <w:p w14:paraId="46AF09CC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本阶段优先把「助学中枢」做深：学生问答—解题—出图—学情练习闭环，以及管理侧题库经营与班级学情分析。在此底座之上，考务协作、按章护航教学等方向作为产品下一阶段的自然延伸，详见第 9 章展望。</w:t>
      </w:r>
    </w:p>
    <w:p w14:paraId="1182C144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2.2 技术约束</w:t>
      </w:r>
    </w:p>
    <w:p w14:paraId="38AF2CDA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单学科纵深：交互与知识工程限定于数字电子技术，拒绝做成跨学科通用助手。</w:t>
      </w:r>
    </w:p>
    <w:p w14:paraId="7BFA1AEA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模型与工具分离：推理与表述由大模型承担；检索、绘图、记忆写入由注册工具执行。</w:t>
      </w:r>
    </w:p>
    <w:p w14:paraId="1B7ADB22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信任不可混淆：题库命中结果与模型自研结果在交付语义上严格区分。</w:t>
      </w:r>
    </w:p>
    <w:p w14:paraId="64CA53EF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 w:val="0"/>
          <w:sz w:val="24"/>
        </w:rPr>
        <w:t>• 密钥治理：支持客户端自备密钥（BYOK）；用户密钥不上服务器持久化。</w:t>
      </w:r>
    </w:p>
    <w:p w14:paraId="354A193D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3. 解决方案策略</w:t>
      </w:r>
    </w:p>
    <w:p w14:paraId="0D74D3F1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策略上采用「中枢智能体 + 知识底座 + 经营面」三元结构。中枢智能体负责意图理解、任务编排与工具调用；知识底座（教材向量、题库、图谱）提供可引用证据；经营面（管理控制台）使未命中题目可回流、班级学情可聚合，从而形成内容自生长闭环。</w:t>
      </w:r>
    </w:p>
    <w:p w14:paraId="22DF8333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编排层借鉴业界 Agent 工程的主流范式：以有状态图描述解题流水线，以 ReAct 循环承载开放式工具使用，并以路由层区分短路径与长路径，避免将所有请求压入同一种交互形态。外层负责任务切片与人机确认闸门，内层负责权威检索与工具增强作答，两者汇入同一导师人格与同一工具注册表，保证行为一致性，消除「规划一套、执行另一套」的双逻辑风险。</w:t>
      </w:r>
    </w:p>
    <w:p w14:paraId="48FDC058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4. 上下文视图</w:t>
      </w:r>
    </w:p>
    <w:p w14:paraId="21306A2E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4.1 业务上下文</w:t>
      </w:r>
    </w:p>
    <w:p w14:paraId="78AFBCF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学生 ──问答/练习/错题──► 学灵伴学生端 ──API──► 助学智能体运行时</w:t>
      </w:r>
    </w:p>
    <w:p w14:paraId="494E497E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教师管理员 ──题库/回流/班级──► 管理控制台 ──────────┘</w:t>
      </w:r>
    </w:p>
    <w:p w14:paraId="326681FB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                      │</w:t>
      </w:r>
    </w:p>
    <w:p w14:paraId="124E965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      ┌───────────────┼───────────────┐</w:t>
      </w:r>
    </w:p>
    <w:p w14:paraId="23A9154D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      ▼               ▼               ▼</w:t>
      </w:r>
    </w:p>
    <w:p w14:paraId="0A980A0E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教材/题库向量      知识图谱        大模型与OCR服务</w:t>
      </w:r>
    </w:p>
    <w:p w14:paraId="3CBC189A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（Chroma等）     （校本图谱）      （OpenAI兼容网关）</w:t>
      </w:r>
    </w:p>
    <w:p w14:paraId="16A942FF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4.2 逻辑分层</w:t>
      </w:r>
    </w:p>
    <w:p w14:paraId="65DB5BA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展示层   Vue 3 应用（学生端 · 管理控制台）</w:t>
      </w:r>
    </w:p>
    <w:p w14:paraId="39DA49AC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接入层   Nginx（静态资源与 API 反向代理）</w:t>
      </w:r>
    </w:p>
    <w:p w14:paraId="5587FBF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业务层   FastAPI · LangGraph 编排 · 工具网关 · 业务服务</w:t>
      </w:r>
    </w:p>
    <w:p w14:paraId="250DB923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数据层   关系库 · 向量库 · 图谱数据 · 媒体产物 · 会话与画像</w:t>
      </w:r>
    </w:p>
    <w:p w14:paraId="0C0343AD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5. 构建块视图</w:t>
      </w:r>
    </w:p>
    <w:p w14:paraId="19BA0647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5.1 容器级构件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231"/>
      </w:tblGrid>
      <w:tr w14:paraId="67BC6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A0833B0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构件</w:t>
            </w:r>
          </w:p>
        </w:tc>
        <w:tc>
          <w:tcPr>
            <w:tcW w:w="3402" w:type="dxa"/>
          </w:tcPr>
          <w:p w14:paraId="58D6E296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职责</w:t>
            </w:r>
          </w:p>
        </w:tc>
        <w:tc>
          <w:tcPr>
            <w:tcW w:w="3231" w:type="dxa"/>
          </w:tcPr>
          <w:p w14:paraId="78EB02F0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关键技术</w:t>
            </w:r>
          </w:p>
        </w:tc>
      </w:tr>
      <w:tr w14:paraId="70989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CE49C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学生 Web 应用</w:t>
            </w:r>
          </w:p>
        </w:tc>
        <w:tc>
          <w:tcPr>
            <w:tcW w:w="3402" w:type="dxa"/>
          </w:tcPr>
          <w:p w14:paraId="014D317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对话、练习、错题、学情、图谱可视化</w:t>
            </w:r>
          </w:p>
        </w:tc>
        <w:tc>
          <w:tcPr>
            <w:tcW w:w="3231" w:type="dxa"/>
          </w:tcPr>
          <w:p w14:paraId="3B7B361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Vue 3 / Pinia / KaTeX / ECharts</w:t>
            </w:r>
          </w:p>
        </w:tc>
      </w:tr>
      <w:tr w14:paraId="5900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28FC63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管理控制台</w:t>
            </w:r>
          </w:p>
        </w:tc>
        <w:tc>
          <w:tcPr>
            <w:tcW w:w="3402" w:type="dxa"/>
          </w:tcPr>
          <w:p w14:paraId="4C44B32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题库、回流审核、班级、学情导出、轨迹查阅</w:t>
            </w:r>
          </w:p>
        </w:tc>
        <w:tc>
          <w:tcPr>
            <w:tcW w:w="3231" w:type="dxa"/>
          </w:tcPr>
          <w:p w14:paraId="064A0FB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同前端应用，角色路由隔离</w:t>
            </w:r>
          </w:p>
        </w:tc>
      </w:tr>
      <w:tr w14:paraId="5509A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305EF8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API 与编排服务</w:t>
            </w:r>
          </w:p>
        </w:tc>
        <w:tc>
          <w:tcPr>
            <w:tcW w:w="3402" w:type="dxa"/>
          </w:tcPr>
          <w:p w14:paraId="29A7196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鉴权、计划路由、解题图、ReAct、回流与学情</w:t>
            </w:r>
          </w:p>
        </w:tc>
        <w:tc>
          <w:tcPr>
            <w:tcW w:w="3231" w:type="dxa"/>
          </w:tcPr>
          <w:p w14:paraId="0342335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FastAPI / LangGraph / LangChain</w:t>
            </w:r>
          </w:p>
        </w:tc>
      </w:tr>
      <w:tr w14:paraId="09AD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C0D83B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知识与检索子系统</w:t>
            </w:r>
          </w:p>
        </w:tc>
        <w:tc>
          <w:tcPr>
            <w:tcW w:w="3402" w:type="dxa"/>
          </w:tcPr>
          <w:p w14:paraId="1BC9D72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教材切块检索、题库召回、图谱查询</w:t>
            </w:r>
          </w:p>
        </w:tc>
        <w:tc>
          <w:tcPr>
            <w:tcW w:w="3231" w:type="dxa"/>
          </w:tcPr>
          <w:p w14:paraId="2053BB4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Chroma / BGE Embedding·Rerank</w:t>
            </w:r>
          </w:p>
        </w:tc>
      </w:tr>
      <w:tr w14:paraId="6E62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CFB299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绘图工作流</w:t>
            </w:r>
          </w:p>
        </w:tc>
        <w:tc>
          <w:tcPr>
            <w:tcW w:w="3402" w:type="dxa"/>
          </w:tcPr>
          <w:p w14:paraId="52930C3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图类路由、IR 校验、确定性渲染</w:t>
            </w:r>
          </w:p>
        </w:tc>
        <w:tc>
          <w:tcPr>
            <w:tcW w:w="3231" w:type="dxa"/>
          </w:tcPr>
          <w:p w14:paraId="7954B73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Skill + Runner（netlistsvg 等）</w:t>
            </w:r>
          </w:p>
        </w:tc>
      </w:tr>
      <w:tr w14:paraId="6A2E4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A9EDC0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持久化与媒体</w:t>
            </w:r>
          </w:p>
        </w:tc>
        <w:tc>
          <w:tcPr>
            <w:tcW w:w="3402" w:type="dxa"/>
          </w:tcPr>
          <w:p w14:paraId="0904CB6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账号班级、题库会话、画像、SVG 产物</w:t>
            </w:r>
          </w:p>
        </w:tc>
        <w:tc>
          <w:tcPr>
            <w:tcW w:w="3231" w:type="dxa"/>
          </w:tcPr>
          <w:p w14:paraId="60AD128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SQLAlchemy · 本地/对象存储</w:t>
            </w:r>
          </w:p>
        </w:tc>
      </w:tr>
    </w:tbl>
    <w:p w14:paraId="6F3C36F8"/>
    <w:p w14:paraId="3F160CE7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5.2 智能体运行时（系统中枢）</w:t>
      </w:r>
    </w:p>
    <w:p w14:paraId="5D3635D7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智能体运行时划分为感知、规划与路由、编排执行、护栏与可观测四个逻辑层。感知层将文本、图像识读结果与课件正文归一为题面；规划与路由层判定任务形态并产出执行计划；编排执行层按图节点或 ReAct 循环调度工具；护栏层以迭代上限、墙钟超时、工具配额与重复动作熔断约束运行时行为，并通过流式状态事件与执行轨迹支撑可观测性。</w:t>
      </w:r>
    </w:p>
    <w:p w14:paraId="0B4CA798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5.3 工具注册表</w:t>
      </w:r>
    </w:p>
    <w:p w14:paraId="126A2081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导师智能体通过统一工具注册表获得外部能力。工具面保持收敛，避免同义多入口导致选择漂移。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066"/>
      </w:tblGrid>
      <w:tr w14:paraId="2D6A5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48EB62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工具</w:t>
            </w:r>
          </w:p>
        </w:tc>
        <w:tc>
          <w:tcPr>
            <w:tcW w:w="6066" w:type="dxa"/>
          </w:tcPr>
          <w:p w14:paraId="4C78D485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能力边界</w:t>
            </w:r>
          </w:p>
        </w:tc>
      </w:tr>
      <w:tr w14:paraId="1F4F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E6866F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draw_with_workflow</w:t>
            </w:r>
          </w:p>
        </w:tc>
        <w:tc>
          <w:tcPr>
            <w:tcW w:w="6066" w:type="dxa"/>
          </w:tcPr>
          <w:p w14:paraId="1E1752B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唯一绘图入口；按图类生成并校验中间表示，再交确定性引擎输出 SVG</w:t>
            </w:r>
          </w:p>
        </w:tc>
      </w:tr>
      <w:tr w14:paraId="32F3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C098AE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search_question_bank</w:t>
            </w:r>
          </w:p>
        </w:tc>
        <w:tc>
          <w:tcPr>
            <w:tcW w:w="6066" w:type="dxa"/>
          </w:tcPr>
          <w:p w14:paraId="3648E1C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题库原题检索；仅在高置信且通过同题校验时返回权威解答</w:t>
            </w:r>
          </w:p>
        </w:tc>
      </w:tr>
      <w:tr w14:paraId="5F82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07577D5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retrieve_multi_rerank</w:t>
            </w:r>
          </w:p>
        </w:tc>
        <w:tc>
          <w:tcPr>
            <w:tcW w:w="6066" w:type="dxa"/>
          </w:tcPr>
          <w:p w14:paraId="3850E69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教材多路召回与精排；插图以可溯源占位符进入上下文</w:t>
            </w:r>
          </w:p>
        </w:tc>
      </w:tr>
      <w:tr w14:paraId="1BA5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3EB981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graph_query</w:t>
            </w:r>
          </w:p>
        </w:tc>
        <w:tc>
          <w:tcPr>
            <w:tcW w:w="6066" w:type="dxa"/>
          </w:tcPr>
          <w:p w14:paraId="2BA7AC9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查询知识点前置关系、关联链路与相关练习线索</w:t>
            </w:r>
          </w:p>
        </w:tc>
      </w:tr>
      <w:tr w14:paraId="1333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12014B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read_profile</w:t>
            </w:r>
          </w:p>
        </w:tc>
        <w:tc>
          <w:tcPr>
            <w:tcW w:w="6066" w:type="dxa"/>
          </w:tcPr>
          <w:p w14:paraId="7DB318A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读取学情聚合画像，供个性化讲解与练习决策</w:t>
            </w:r>
          </w:p>
        </w:tc>
      </w:tr>
      <w:tr w14:paraId="3EF4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23E993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memory_search / upsert / forget</w:t>
            </w:r>
          </w:p>
        </w:tc>
        <w:tc>
          <w:tcPr>
            <w:tcW w:w="6066" w:type="dxa"/>
          </w:tcPr>
          <w:p w14:paraId="5AD7F87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长期记忆的检索、写入与按需遗忘</w:t>
            </w:r>
          </w:p>
        </w:tc>
      </w:tr>
    </w:tbl>
    <w:p w14:paraId="6F70E7E2"/>
    <w:p w14:paraId="402A69A0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5.4 知识底座</w:t>
      </w:r>
    </w:p>
    <w:p w14:paraId="0A7F830B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知识工程采用「离线灌库 / 在线检索」解耦：教材按章切块并向量化，题库同时进入业务表与向量集合，知识图谱以校本结构化数据提供路径推理。在线路径只消费索引与元数据，不在请求链路中现场解析整本教材，从而保证时延与可重复性。</w:t>
      </w:r>
    </w:p>
    <w:p w14:paraId="1F659581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5.5 产品应用构件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268"/>
        <w:gridCol w:w="4535"/>
      </w:tblGrid>
      <w:tr w14:paraId="23BD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6D93125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应用面</w:t>
            </w:r>
          </w:p>
        </w:tc>
        <w:tc>
          <w:tcPr>
            <w:tcW w:w="2268" w:type="dxa"/>
          </w:tcPr>
          <w:p w14:paraId="557E4E8F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与中枢关系</w:t>
            </w:r>
          </w:p>
        </w:tc>
        <w:tc>
          <w:tcPr>
            <w:tcW w:w="4535" w:type="dxa"/>
          </w:tcPr>
          <w:p w14:paraId="1A211D4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主要能力</w:t>
            </w:r>
          </w:p>
        </w:tc>
      </w:tr>
      <w:tr w14:paraId="0387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E38E53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自由问答</w:t>
            </w:r>
          </w:p>
        </w:tc>
        <w:tc>
          <w:tcPr>
            <w:tcW w:w="2268" w:type="dxa"/>
          </w:tcPr>
          <w:p w14:paraId="06944A7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智能体主入口</w:t>
            </w:r>
          </w:p>
        </w:tc>
        <w:tc>
          <w:tcPr>
            <w:tcW w:w="4535" w:type="dxa"/>
          </w:tcPr>
          <w:p w14:paraId="5458EA3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多模态感知、短/长路径编排、流式讲解与出图</w:t>
            </w:r>
          </w:p>
        </w:tc>
      </w:tr>
      <w:tr w14:paraId="0F50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BAB656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自适应练习</w:t>
            </w:r>
          </w:p>
        </w:tc>
        <w:tc>
          <w:tcPr>
            <w:tcW w:w="2268" w:type="dxa"/>
          </w:tcPr>
          <w:p w14:paraId="0FFA22E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消费学情与题库</w:t>
            </w:r>
          </w:p>
        </w:tc>
        <w:tc>
          <w:tcPr>
            <w:tcW w:w="4535" w:type="dxa"/>
          </w:tcPr>
          <w:p w14:paraId="66111DB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按薄弱点抽题、即时反馈、错题沉淀</w:t>
            </w:r>
          </w:p>
        </w:tc>
      </w:tr>
      <w:tr w14:paraId="6CE4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3BA409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错题与学情</w:t>
            </w:r>
          </w:p>
        </w:tc>
        <w:tc>
          <w:tcPr>
            <w:tcW w:w="2268" w:type="dxa"/>
          </w:tcPr>
          <w:p w14:paraId="16A5E3D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中枢输出的沉淀层</w:t>
            </w:r>
          </w:p>
        </w:tc>
        <w:tc>
          <w:tcPr>
            <w:tcW w:w="4535" w:type="dxa"/>
          </w:tcPr>
          <w:p w14:paraId="6FBDC6D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错题管理、画像批处理、学习反馈</w:t>
            </w:r>
          </w:p>
        </w:tc>
      </w:tr>
      <w:tr w14:paraId="2A8A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6EB4B3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知识图谱页</w:t>
            </w:r>
          </w:p>
        </w:tc>
        <w:tc>
          <w:tcPr>
            <w:tcW w:w="2268" w:type="dxa"/>
          </w:tcPr>
          <w:p w14:paraId="048D022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知识底座的可视投影</w:t>
            </w:r>
          </w:p>
        </w:tc>
        <w:tc>
          <w:tcPr>
            <w:tcW w:w="4535" w:type="dxa"/>
          </w:tcPr>
          <w:p w14:paraId="0666CF7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概念关系与路径浏览</w:t>
            </w:r>
          </w:p>
        </w:tc>
      </w:tr>
      <w:tr w14:paraId="12E2C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07B1E3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管理控制台</w:t>
            </w:r>
          </w:p>
        </w:tc>
        <w:tc>
          <w:tcPr>
            <w:tcW w:w="2268" w:type="dxa"/>
          </w:tcPr>
          <w:p w14:paraId="38D181D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内容经营与运维面</w:t>
            </w:r>
          </w:p>
        </w:tc>
        <w:tc>
          <w:tcPr>
            <w:tcW w:w="4535" w:type="dxa"/>
          </w:tcPr>
          <w:p w14:paraId="1D13C9F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 CRUD、回流审核、班级学情、执行轨迹</w:t>
            </w:r>
          </w:p>
        </w:tc>
      </w:tr>
    </w:tbl>
    <w:p w14:paraId="4ACAE359"/>
    <w:p w14:paraId="7E96847B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6. 运行时视图</w:t>
      </w:r>
    </w:p>
    <w:p w14:paraId="5D8A7E77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6.1 端到端控制流</w:t>
      </w:r>
    </w:p>
    <w:p w14:paraId="15C63FBD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一次学习请求首先进入感知与意图路由。路由模型仅输出结构化路由结果（任务类型、执行模式、原子任务清单、安全裁决），不承担解题与绘图。短路径请求直接进入解题编排；长路径请求先生成任务清单，经对话内人在回路确认后，按原子任务串行进入同一解题编排。单回合原子任务规模设有上限，超额部分通过续跑机制推进，以控制单次上下文与工具预算。</w:t>
      </w:r>
    </w:p>
    <w:p w14:paraId="1D57B933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6.2 意图双模式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88"/>
        <w:gridCol w:w="3515"/>
      </w:tblGrid>
      <w:tr w14:paraId="450C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8F76C9F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模式</w:t>
            </w:r>
          </w:p>
        </w:tc>
        <w:tc>
          <w:tcPr>
            <w:tcW w:w="3288" w:type="dxa"/>
          </w:tcPr>
          <w:p w14:paraId="3E2A2F37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适用情境</w:t>
            </w:r>
          </w:p>
        </w:tc>
        <w:tc>
          <w:tcPr>
            <w:tcW w:w="3515" w:type="dxa"/>
          </w:tcPr>
          <w:p w14:paraId="4120EC70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控制策略</w:t>
            </w:r>
          </w:p>
        </w:tc>
      </w:tr>
      <w:tr w14:paraId="0C75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78A3C3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react_short</w:t>
            </w:r>
          </w:p>
        </w:tc>
        <w:tc>
          <w:tcPr>
            <w:tcW w:w="3288" w:type="dxa"/>
          </w:tcPr>
          <w:p w14:paraId="2849BF1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寒暄、单点讲解、单题及少量原子任务</w:t>
            </w:r>
          </w:p>
        </w:tc>
        <w:tc>
          <w:tcPr>
            <w:tcW w:w="3515" w:type="dxa"/>
          </w:tcPr>
          <w:p w14:paraId="4BA2D80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跳过强制确认，直接进入解题编排与工具循环</w:t>
            </w:r>
          </w:p>
        </w:tc>
      </w:tr>
      <w:tr w14:paraId="39BE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CBD1A3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plan_execute</w:t>
            </w:r>
          </w:p>
        </w:tc>
        <w:tc>
          <w:tcPr>
            <w:tcW w:w="3288" w:type="dxa"/>
          </w:tcPr>
          <w:p w14:paraId="39CAFC1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多题、整卷、长文档、大纲类复合任务</w:t>
            </w:r>
          </w:p>
        </w:tc>
        <w:tc>
          <w:tcPr>
            <w:tcW w:w="3515" w:type="dxa"/>
          </w:tcPr>
          <w:p w14:paraId="3D4F5A2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任务清单确认后方可执行；支持中断后续跑</w:t>
            </w:r>
          </w:p>
        </w:tc>
      </w:tr>
    </w:tbl>
    <w:p w14:paraId="2A39B0B7"/>
    <w:p w14:paraId="58BFE040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安全策略将明显越界或违规请求标记为阻断并返回说明文案，使其不得进入工具执行链。路由失败时降级为「整段单一任务」，保证可用性优先于过度拆分。</w:t>
      </w:r>
    </w:p>
    <w:p w14:paraId="5F14F528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6.3 解题编排图</w:t>
      </w:r>
    </w:p>
    <w:p w14:paraId="786645D3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解题过程建模为有状态控制图。节点职责单一：归一与识读、轻量决策、题库预取、知识锚定、工具增强求解、结果校验与回流写入。题库预取构成权威短路：命中且通过校验则直接以权威语义交付；未命中则进入知识锚定与 ReAct 工具循环，再经校验决定是否进入回流队列。</w:t>
      </w:r>
    </w:p>
    <w:p w14:paraId="0C2D6829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normalize → ocr_or_text → decide → scope_task → bank_prefetch</w:t>
      </w:r>
    </w:p>
    <w:p w14:paraId="6FFC0766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│                                        │</w:t>
      </w:r>
    </w:p>
    <w:p w14:paraId="221E2C5B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│                              命中 ──► bank_done ──► 权威交付</w:t>
      </w:r>
    </w:p>
    <w:p w14:paraId="6D9B4FD2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│                                        │</w:t>
      </w:r>
    </w:p>
    <w:p w14:paraId="6F4DEBA4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│                              未命中 ─► kg_ground → ai_solve</w:t>
      </w:r>
    </w:p>
    <w:p w14:paraId="22AEE3C0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│                                                      │</w:t>
      </w:r>
    </w:p>
    <w:p w14:paraId="7F94E316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└──────────────────────────────────────────────► validate</w:t>
      </w:r>
    </w:p>
    <w:p w14:paraId="0D7A6D03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                                                │</w:t>
      </w:r>
    </w:p>
    <w:p w14:paraId="40A77BA1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 xml:space="preserve">                                                    回流写入 / 跳过回流</w:t>
      </w:r>
    </w:p>
    <w:p w14:paraId="05669D89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决策节点输出意图与步骤标记，不直接生成最终答卷；真正的工具选择发生在求解节点的 ReAct 循环中。交付层区分权威解答与 AI 参考解答，避免信任语义混淆。适合沉淀的未命中题目进入回流，由管理端审核后入库，形成内容飞轮。</w:t>
      </w:r>
    </w:p>
    <w:p w14:paraId="267C7F83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6.4 导师内核组装</w:t>
      </w:r>
    </w:p>
    <w:p w14:paraId="60341AD5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开放式求解内核由聊天模型、系统提示（学科人设、场景边界、题库约定、工具清单与绘图规约）、工具注册表与图执行器共同组成。运行时注入题面、预检索说明、记忆摘要与图谱上下文等原始材料，提示模板在节点内按需装配，符合「状态保存原始数据、提示在边界处格式化」的编排原则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633"/>
      </w:tblGrid>
      <w:tr w14:paraId="7813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E8912A5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控制维度</w:t>
            </w:r>
          </w:p>
        </w:tc>
        <w:tc>
          <w:tcPr>
            <w:tcW w:w="6633" w:type="dxa"/>
          </w:tcPr>
          <w:p w14:paraId="1B41F9D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策略</w:t>
            </w:r>
          </w:p>
        </w:tc>
      </w:tr>
      <w:tr w14:paraId="68610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A284E7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迭代深度</w:t>
            </w:r>
          </w:p>
        </w:tc>
        <w:tc>
          <w:tcPr>
            <w:tcW w:w="6633" w:type="dxa"/>
          </w:tcPr>
          <w:p w14:paraId="0541522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限制 ReAct 递归步数，防止无界自我循环</w:t>
            </w:r>
          </w:p>
        </w:tc>
      </w:tr>
      <w:tr w14:paraId="04D8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2B18DE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时间预算</w:t>
            </w:r>
          </w:p>
        </w:tc>
        <w:tc>
          <w:tcPr>
            <w:tcW w:w="6633" w:type="dxa"/>
          </w:tcPr>
          <w:p w14:paraId="6F0BB43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墙钟超时与空闲超时共同约束</w:t>
            </w:r>
          </w:p>
        </w:tc>
      </w:tr>
      <w:tr w14:paraId="17DB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5F09536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工具配额</w:t>
            </w:r>
          </w:p>
        </w:tc>
        <w:tc>
          <w:tcPr>
            <w:tcW w:w="6633" w:type="dxa"/>
          </w:tcPr>
          <w:p w14:paraId="78FC2EB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绘图、教材检索、题库搜索分别计数并熔断</w:t>
            </w:r>
          </w:p>
        </w:tc>
      </w:tr>
      <w:tr w14:paraId="57CD8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E25DD2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重复动作</w:t>
            </w:r>
          </w:p>
        </w:tc>
        <w:tc>
          <w:tcPr>
            <w:tcW w:w="6633" w:type="dxa"/>
          </w:tcPr>
          <w:p w14:paraId="4B6FE36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同名同参连续重复触发断路</w:t>
            </w:r>
          </w:p>
        </w:tc>
      </w:tr>
      <w:tr w14:paraId="57501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E1FA02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输出规模</w:t>
            </w:r>
          </w:p>
        </w:tc>
        <w:tc>
          <w:tcPr>
            <w:tcW w:w="6633" w:type="dxa"/>
          </w:tcPr>
          <w:p w14:paraId="025F3DB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限制最大输出长度，抑制生成坍缩</w:t>
            </w:r>
          </w:p>
        </w:tc>
      </w:tr>
    </w:tbl>
    <w:p w14:paraId="054AE0CB"/>
    <w:p w14:paraId="72207E8E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6.5 绘图工作流</w:t>
      </w:r>
    </w:p>
    <w:p w14:paraId="7476CBAB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专业出图被设计为解题工作流的附属能力，而非独立设计工具产品。调用方仅面对统一门面：选择或推断图类，生成结构化中间表示，经模式校验与有限重试后，交由确定性渲染引擎输出 SVG。答案正文使用占位标记绑定真实产物地址，禁止模型虚构媒体链接。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835"/>
        <w:gridCol w:w="3402"/>
      </w:tblGrid>
      <w:tr w14:paraId="471E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08FCD552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图类</w:t>
            </w:r>
          </w:p>
        </w:tc>
        <w:tc>
          <w:tcPr>
            <w:tcW w:w="2835" w:type="dxa"/>
          </w:tcPr>
          <w:p w14:paraId="29D3640E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典型用途</w:t>
            </w:r>
          </w:p>
        </w:tc>
        <w:tc>
          <w:tcPr>
            <w:tcW w:w="3402" w:type="dxa"/>
          </w:tcPr>
          <w:p w14:paraId="500B0FEB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渲染路径</w:t>
            </w:r>
          </w:p>
        </w:tc>
      </w:tr>
      <w:tr w14:paraId="3FFD8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943457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logic_dag</w:t>
            </w:r>
          </w:p>
        </w:tc>
        <w:tc>
          <w:tcPr>
            <w:tcW w:w="2835" w:type="dxa"/>
          </w:tcPr>
          <w:p w14:paraId="74D5E80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门级逻辑与表达式实现</w:t>
            </w:r>
          </w:p>
        </w:tc>
        <w:tc>
          <w:tcPr>
            <w:tcW w:w="3402" w:type="dxa"/>
          </w:tcPr>
          <w:p w14:paraId="4C59A2E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 IR → netlistsvg</w:t>
            </w:r>
          </w:p>
        </w:tc>
      </w:tr>
      <w:tr w14:paraId="69D4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4E611B6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timing_wave</w:t>
            </w:r>
          </w:p>
        </w:tc>
        <w:tc>
          <w:tcPr>
            <w:tcW w:w="2835" w:type="dxa"/>
          </w:tcPr>
          <w:p w14:paraId="4F70010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多信号时序波形</w:t>
            </w:r>
          </w:p>
        </w:tc>
        <w:tc>
          <w:tcPr>
            <w:tcW w:w="3402" w:type="dxa"/>
          </w:tcPr>
          <w:p w14:paraId="48F7379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波形 IR → 专用渲染</w:t>
            </w:r>
          </w:p>
        </w:tc>
      </w:tr>
      <w:tr w14:paraId="5ACF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5189B42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state_machine</w:t>
            </w:r>
          </w:p>
        </w:tc>
        <w:tc>
          <w:tcPr>
            <w:tcW w:w="2835" w:type="dxa"/>
          </w:tcPr>
          <w:p w14:paraId="224F6358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状态转换图</w:t>
            </w:r>
          </w:p>
        </w:tc>
        <w:tc>
          <w:tcPr>
            <w:tcW w:w="3402" w:type="dxa"/>
          </w:tcPr>
          <w:p w14:paraId="3EEEB83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状态 IR → 专用渲染</w:t>
            </w:r>
          </w:p>
        </w:tc>
      </w:tr>
      <w:tr w14:paraId="244C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3C92326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truth_table / kmap / seven_seg</w:t>
            </w:r>
          </w:p>
        </w:tc>
        <w:tc>
          <w:tcPr>
            <w:tcW w:w="2835" w:type="dxa"/>
          </w:tcPr>
          <w:p w14:paraId="52EE6FE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真值表、卡诺图、七段显示</w:t>
            </w:r>
          </w:p>
        </w:tc>
        <w:tc>
          <w:tcPr>
            <w:tcW w:w="3402" w:type="dxa"/>
          </w:tcPr>
          <w:p w14:paraId="02F7927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参数化 Python 绘制</w:t>
            </w:r>
          </w:p>
        </w:tc>
      </w:tr>
      <w:tr w14:paraId="4EEA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2993645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char_curve</w:t>
            </w:r>
          </w:p>
        </w:tc>
        <w:tc>
          <w:tcPr>
            <w:tcW w:w="2835" w:type="dxa"/>
          </w:tcPr>
          <w:p w14:paraId="540E494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TTL/CMOS 传输特性</w:t>
            </w:r>
          </w:p>
        </w:tc>
        <w:tc>
          <w:tcPr>
            <w:tcW w:w="3402" w:type="dxa"/>
          </w:tcPr>
          <w:p w14:paraId="4F92719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科学绘图库</w:t>
            </w:r>
          </w:p>
        </w:tc>
      </w:tr>
      <w:tr w14:paraId="6E11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</w:tcPr>
          <w:p w14:paraId="7792AD8B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msi_design</w:t>
            </w:r>
          </w:p>
        </w:tc>
        <w:tc>
          <w:tcPr>
            <w:tcW w:w="2835" w:type="dxa"/>
          </w:tcPr>
          <w:p w14:paraId="62178824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74/555/CMOS/DAC 等设计电路</w:t>
            </w:r>
          </w:p>
        </w:tc>
        <w:tc>
          <w:tcPr>
            <w:tcW w:w="3402" w:type="dxa"/>
          </w:tcPr>
          <w:p w14:paraId="5DF4F04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逻辑先行校验 → 电路渲染引擎</w:t>
            </w:r>
          </w:p>
        </w:tc>
      </w:tr>
    </w:tbl>
    <w:p w14:paraId="235C517E"/>
    <w:p w14:paraId="782C2C03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设计电路类题目强制「逻辑先行」：先形成可校验的逻辑方案，再布局出图，扩展点落在器件引脚库而非按题定制模板。会话级绘图调用另有配额；若题面明确要求出图而产物缺失，求解收尾阶段可再次进入同一工作流补全，而不引入旁路绘制接口。</w:t>
      </w:r>
    </w:p>
    <w:p w14:paraId="42B50CED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6.6 记忆与个性化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0FBE4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50D26BBF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层次</w:t>
            </w:r>
          </w:p>
        </w:tc>
        <w:tc>
          <w:tcPr>
            <w:tcW w:w="6803" w:type="dxa"/>
          </w:tcPr>
          <w:p w14:paraId="677EB198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作用</w:t>
            </w:r>
          </w:p>
        </w:tc>
      </w:tr>
      <w:tr w14:paraId="609FE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BDCCB7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短期会话</w:t>
            </w:r>
          </w:p>
        </w:tc>
        <w:tc>
          <w:tcPr>
            <w:tcW w:w="6803" w:type="dxa"/>
          </w:tcPr>
          <w:p w14:paraId="4517C8E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服务端会话消息作为权威历史，支撑多轮连贯</w:t>
            </w:r>
          </w:p>
        </w:tc>
      </w:tr>
      <w:tr w14:paraId="23A4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31DC9C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长期记忆</w:t>
            </w:r>
          </w:p>
        </w:tc>
        <w:tc>
          <w:tcPr>
            <w:tcW w:w="6803" w:type="dxa"/>
          </w:tcPr>
          <w:p w14:paraId="359B115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偏好、易错点与笔记经工具读写，跨会话复用</w:t>
            </w:r>
          </w:p>
        </w:tc>
      </w:tr>
      <w:tr w14:paraId="1EF33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1719983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学情画像</w:t>
            </w:r>
          </w:p>
        </w:tc>
        <w:tc>
          <w:tcPr>
            <w:tcW w:w="6803" w:type="dxa"/>
          </w:tcPr>
          <w:p w14:paraId="1798699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掌握度与薄弱点聚合，服务练习选题与讲解侧重</w:t>
            </w:r>
          </w:p>
        </w:tc>
      </w:tr>
    </w:tbl>
    <w:p w14:paraId="1299967F"/>
    <w:p w14:paraId="0717BE30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7. 部署视图</w:t>
      </w:r>
    </w:p>
    <w:p w14:paraId="1E1D3188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标准演示环境采用容器编排，将前端静态资源、API 服务与配套数据组件一并拉起。资源受限场景可采用精简拓扑：反向代理 + 应用进程 + 嵌入式/轻量数据库，在保持主链路可用的前提下降低运维面。绘图能力依赖对应运行时（脚本引擎、工作台资源与设计电路渲染环境）；部署说明中单独给出环境矩阵与自检入口。</w:t>
      </w:r>
    </w:p>
    <w:p w14:paraId="139A0B25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8. 关键架构决策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798"/>
      </w:tblGrid>
      <w:tr w14:paraId="4722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3C2B4B4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决策</w:t>
            </w:r>
          </w:p>
        </w:tc>
        <w:tc>
          <w:tcPr>
            <w:tcW w:w="3118" w:type="dxa"/>
          </w:tcPr>
          <w:p w14:paraId="6DBF8D91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选择</w:t>
            </w:r>
          </w:p>
        </w:tc>
        <w:tc>
          <w:tcPr>
            <w:tcW w:w="3798" w:type="dxa"/>
          </w:tcPr>
          <w:p w14:paraId="1C760138">
            <w:pPr>
              <w:spacing w:before="0" w:after="40" w:line="288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1"/>
              </w:rPr>
              <w:t>后果</w:t>
            </w:r>
          </w:p>
        </w:tc>
      </w:tr>
      <w:tr w14:paraId="1ED9D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4E40075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编排骨架</w:t>
            </w:r>
          </w:p>
        </w:tc>
        <w:tc>
          <w:tcPr>
            <w:tcW w:w="3118" w:type="dxa"/>
          </w:tcPr>
          <w:p w14:paraId="6D42842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LangGraph 状态图 + ReAct 工具循环</w:t>
            </w:r>
          </w:p>
        </w:tc>
        <w:tc>
          <w:tcPr>
            <w:tcW w:w="3798" w:type="dxa"/>
          </w:tcPr>
          <w:p w14:paraId="31EFA73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分支、短路与循环显式化；便于插入校验与回流</w:t>
            </w:r>
          </w:p>
        </w:tc>
      </w:tr>
      <w:tr w14:paraId="28A1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6B1CD0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任务形态</w:t>
            </w:r>
          </w:p>
        </w:tc>
        <w:tc>
          <w:tcPr>
            <w:tcW w:w="3118" w:type="dxa"/>
          </w:tcPr>
          <w:p w14:paraId="6D7A0FB0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短路径 / 长路径双模式 + 人在回路</w:t>
            </w:r>
          </w:p>
        </w:tc>
        <w:tc>
          <w:tcPr>
            <w:tcW w:w="3798" w:type="dxa"/>
          </w:tcPr>
          <w:p w14:paraId="6A46381A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控制长任务失控，同时保留单题低摩擦</w:t>
            </w:r>
          </w:p>
        </w:tc>
      </w:tr>
      <w:tr w14:paraId="0AF71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6D8B51F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权威策略</w:t>
            </w:r>
          </w:p>
        </w:tc>
        <w:tc>
          <w:tcPr>
            <w:tcW w:w="3118" w:type="dxa"/>
          </w:tcPr>
          <w:p w14:paraId="4F8DA967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题库预取短路 + 交付分轨</w:t>
            </w:r>
          </w:p>
        </w:tc>
        <w:tc>
          <w:tcPr>
            <w:tcW w:w="3798" w:type="dxa"/>
          </w:tcPr>
          <w:p w14:paraId="58491A5C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提升可信度；未命中进入回流经营</w:t>
            </w:r>
          </w:p>
        </w:tc>
      </w:tr>
      <w:tr w14:paraId="3FBF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1F846F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绘图策略</w:t>
            </w:r>
          </w:p>
        </w:tc>
        <w:tc>
          <w:tcPr>
            <w:tcW w:w="3118" w:type="dxa"/>
          </w:tcPr>
          <w:p w14:paraId="1A8A5E4E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单一工具门面 + IR 校验 + 确定性渲染</w:t>
            </w:r>
          </w:p>
        </w:tc>
        <w:tc>
          <w:tcPr>
            <w:tcW w:w="3798" w:type="dxa"/>
          </w:tcPr>
          <w:p w14:paraId="626F69F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降低选错工具概率；图质量可回归</w:t>
            </w:r>
          </w:p>
        </w:tc>
      </w:tr>
      <w:tr w14:paraId="32A7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562C32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知识策略</w:t>
            </w:r>
          </w:p>
        </w:tc>
        <w:tc>
          <w:tcPr>
            <w:tcW w:w="3118" w:type="dxa"/>
          </w:tcPr>
          <w:p w14:paraId="1008C599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离线灌库与在线检索分离</w:t>
            </w:r>
          </w:p>
        </w:tc>
        <w:tc>
          <w:tcPr>
            <w:tcW w:w="3798" w:type="dxa"/>
          </w:tcPr>
          <w:p w14:paraId="482E570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时延稳定；教材更新走灌库流水线</w:t>
            </w:r>
          </w:p>
        </w:tc>
      </w:tr>
      <w:tr w14:paraId="18EF7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58999F6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角色策略</w:t>
            </w:r>
          </w:p>
        </w:tc>
        <w:tc>
          <w:tcPr>
            <w:tcW w:w="3118" w:type="dxa"/>
          </w:tcPr>
          <w:p w14:paraId="6F01FC0D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助学中枢 + 管理经营面</w:t>
            </w:r>
          </w:p>
        </w:tc>
        <w:tc>
          <w:tcPr>
            <w:tcW w:w="3798" w:type="dxa"/>
          </w:tcPr>
          <w:p w14:paraId="4A41D241">
            <w:pPr>
              <w:spacing w:before="0" w:after="40" w:line="288" w:lineRule="auto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0"/>
              </w:rPr>
              <w:t>先立助学深度；向教考协同平滑扩展</w:t>
            </w:r>
          </w:p>
        </w:tc>
      </w:tr>
    </w:tbl>
    <w:p w14:paraId="7544258F"/>
    <w:p w14:paraId="53C77B5E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9. 未来迭代与产品展望</w:t>
      </w:r>
    </w:p>
    <w:p w14:paraId="4AD27857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现行架构已形成可运行的助学中枢与内容经营闭环。在此基础上，产品将沿「学得更深、教得更省、管得更清」三条主线持续演进：把自由探究式答疑延伸为有进度的课程护航，把题库经营延伸为教考协同的多智能体协作，并把校本适配与规模化验证做成可复制的学科样板。下列方向描述目标形态与协作关系，作为版本路线图的展望，而非对现状的否定。</w:t>
      </w:r>
    </w:p>
    <w:p w14:paraId="52044322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9.1 多智能体教考协同</w:t>
      </w:r>
    </w:p>
    <w:p w14:paraId="2098EEE7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展望在助学智能体旁侧生长考务智能体簇，形成「学」与「考」分工协作的多 Agent 拓扑：组卷智能体依据大纲与题型约束生成试卷结构；考务编排贯通发布、作答会话与收卷；判卷智能体完成客观题自动判定，并为主观题提供初评以辅助教师改判；洞察服务从考次维度沉淀失分结构与共性错因。协作上采用中心编排（Orchestrator）与专业执行者（Worker）相结合，助学与考务分工具域、分权限与分审计轨迹，使成绩相关链路具备可追溯治理能力，同时复用已有题库、学情与可观测基础设施。</w:t>
      </w:r>
    </w:p>
    <w:p w14:paraId="7413DC10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9.2 课程制护航学习（Curriculum Agent）</w:t>
      </w:r>
    </w:p>
    <w:p w14:paraId="04B45867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在自由问答之外，进一步建设按章推进的课程制教学智能体：以课程状态机维护「当前节次、学习目标、待练题与掌握度」；课内步骤按需调用教材检索与练习工具；互动上结合苏格拉底式提问与掌握度门禁，章末生成学情报告并驱动加练。届时，自由问答继续承担探究式自习，课程智能体承担有进度的护航教学，二者共享知识底座与画像，形成「能问、能学、能巩固」的完整体验。</w:t>
      </w:r>
    </w:p>
    <w:p w14:paraId="3AF249B5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9.3 平台能力持续增强</w:t>
      </w:r>
    </w:p>
    <w:p w14:paraId="47909886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教学配置：</w:t>
      </w:r>
      <w:r>
        <w:rPr>
          <w:rFonts w:ascii="Times New Roman" w:hAnsi="Times New Roman" w:eastAsia="宋体" w:cs="Times New Roman"/>
          <w:b w:val="0"/>
          <w:sz w:val="24"/>
        </w:rPr>
        <w:t>支持校本大纲裁剪与章节进度配置，服务不同院校的开课差异。</w:t>
      </w:r>
    </w:p>
    <w:p w14:paraId="5ED99E0C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知识与编排：</w:t>
      </w:r>
      <w:r>
        <w:rPr>
          <w:rFonts w:ascii="Times New Roman" w:hAnsi="Times New Roman" w:eastAsia="宋体" w:cs="Times New Roman"/>
          <w:b w:val="0"/>
          <w:sz w:val="24"/>
        </w:rPr>
        <w:t>图谱查询与编排状态进一步工程化，配套学科评测集持续校准效果。</w:t>
      </w:r>
    </w:p>
    <w:p w14:paraId="604592AA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绘图效能：</w:t>
      </w:r>
      <w:r>
        <w:rPr>
          <w:rFonts w:ascii="Times New Roman" w:hAnsi="Times New Roman" w:eastAsia="宋体" w:cs="Times New Roman"/>
          <w:b w:val="0"/>
          <w:sz w:val="24"/>
        </w:rPr>
        <w:t>对高频窄域图类引入专用小模型路径，与主工作流形成成本—质量协同。</w:t>
      </w:r>
    </w:p>
    <w:p w14:paraId="6EA0CC37">
      <w:pPr>
        <w:spacing w:before="0" w:after="80" w:line="324" w:lineRule="auto"/>
        <w:ind w:left="420" w:firstLine="0"/>
      </w:pPr>
      <w:r>
        <w:rPr>
          <w:rFonts w:ascii="Times New Roman" w:hAnsi="Times New Roman" w:eastAsia="宋体" w:cs="Times New Roman"/>
          <w:b/>
          <w:sz w:val="24"/>
        </w:rPr>
        <w:t>• 推广验证：</w:t>
      </w:r>
      <w:r>
        <w:rPr>
          <w:rFonts w:ascii="Times New Roman" w:hAnsi="Times New Roman" w:eastAsia="宋体" w:cs="Times New Roman"/>
          <w:b w:val="0"/>
          <w:sz w:val="24"/>
        </w:rPr>
        <w:t>扩大班级规模验证与学习效果度量，沉淀可复制的学科落地样板。</w:t>
      </w:r>
    </w:p>
    <w:p w14:paraId="7FEF6067">
      <w:pPr>
        <w:spacing w:before="220" w:after="200" w:line="312" w:lineRule="auto"/>
        <w:ind w:firstLine="0"/>
      </w:pPr>
      <w:r>
        <w:rPr>
          <w:rFonts w:ascii="Arial" w:hAnsi="Arial" w:eastAsia="黑体" w:cs="Arial"/>
          <w:b/>
          <w:sz w:val="28"/>
        </w:rPr>
        <w:t>9.4 版本路线展望</w:t>
      </w:r>
    </w:p>
    <w:p w14:paraId="26198E6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① 持续打磨助学中枢体验、评测与绘图运行时</w:t>
      </w:r>
    </w:p>
    <w:p w14:paraId="7FED0695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② 推出 Curriculum Agent 单章护航学习闭环</w:t>
      </w:r>
    </w:p>
    <w:p w14:paraId="49EF82D5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③ 建设组卷规则与题库标签，开展教考协同试点</w:t>
      </w:r>
    </w:p>
    <w:p w14:paraId="02B1807E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④ 完善助学/考务多智能体协作与统一可观测</w:t>
      </w:r>
    </w:p>
    <w:p w14:paraId="42298D38">
      <w:pPr>
        <w:spacing w:before="0" w:after="0" w:line="276" w:lineRule="auto"/>
        <w:ind w:left="283" w:firstLine="0"/>
      </w:pPr>
      <w:r>
        <w:rPr>
          <w:rFonts w:ascii="Consolas" w:hAnsi="Consolas" w:eastAsia="Consolas" w:cs="Consolas"/>
          <w:b w:val="0"/>
          <w:color w:val="333333"/>
          <w:sz w:val="18"/>
        </w:rPr>
        <w:t>⑤ 开放校本配置能力，推进多班级规模化应用</w:t>
      </w:r>
    </w:p>
    <w:p w14:paraId="0A691F0E">
      <w:pPr>
        <w:spacing w:before="320" w:after="200" w:line="312" w:lineRule="auto"/>
        <w:ind w:firstLine="0"/>
      </w:pPr>
      <w:r>
        <w:rPr>
          <w:rFonts w:ascii="Arial" w:hAnsi="Arial" w:eastAsia="黑体" w:cs="Arial"/>
          <w:b/>
          <w:sz w:val="32"/>
        </w:rPr>
        <w:t>10. 小结</w:t>
      </w:r>
    </w:p>
    <w:p w14:paraId="4C9BF426">
      <w:pPr>
        <w:spacing w:before="0" w:after="120" w:line="360" w:lineRule="auto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学灵伴以助学智能体为架构中枢，用分层运行时、双模式任务控制、权威优先的解题编排、收敛的工具注册表与教材级绘图工作流，把学科垂类大模型能力落实为可部署的教学生产系统；以管理控制台完成内容经营与可观测闭环。面向未来，课程制护航学习与多智能体教考协同构成清晰的产品展望，使系统能够在现有中枢之上平滑生长，持续服务「人工智能 + 一流学科」场景。</w:t>
      </w:r>
      <w:bookmarkStart w:id="0" w:name="_GoBack"/>
      <w:bookmarkEnd w:id="0"/>
    </w:p>
    <w:sectPr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DB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4687</Words>
  <Characters>5412</Characters>
  <Lines>0</Lines>
  <Paragraphs>0</Paragraphs>
  <TotalTime>1</TotalTime>
  <ScaleCrop>false</ScaleCrop>
  <LinksUpToDate>false</LinksUpToDate>
  <CharactersWithSpaces>6143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WPS_1527926299</cp:lastModifiedBy>
  <dcterms:modified xsi:type="dcterms:W3CDTF">2026-09-11T04:43:29Z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eyJoZGlkIjoiZGI4NzBkNGM4YmMzNWI1NGZhYmI1ZWFkYTBjZWY2NTgiLCJ1c2VySWQiOiIzNzU1Mzg5NTYifQ==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F15AD8574AAB4F91B94E22B273ED56C4_12</vt:lpwstr>
  </property>
</Properties>
</file>