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line="360" w:lineRule="auto"/>
        <w:jc w:val="center"/>
        <w:rPr>
          <w:b/>
          <w:sz w:val="36"/>
          <w:szCs w:val="36"/>
        </w:rPr>
      </w:pPr>
      <w:r>
        <w:rPr>
          <w:rFonts w:ascii="Times New Roman" w:hAnsi="Times New Roman" w:cs="Times New Roman" w:eastAsia="Times New Roman"/>
          <w:b/>
          <w:bCs/>
          <w:sz w:val="36"/>
          <w:szCs w:val="36"/>
        </w:rPr>
        <w:t xml:space="preserve">OBJECT-CENTRIC EVENT LOG MINING FOR ACADEMIC CAPSTONE PROCESSES: A NATIVE OCEL 2.0 APPROACH</w:t>
      </w: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Pr>
          <w:rFonts w:ascii="Times New Roman" w:hAnsi="Times New Roman" w:cs="Times New Roman" w:eastAsia="Times New Roman"/>
          <w:b/>
          <w:bCs/>
          <w:sz w:val="26"/>
          <w:szCs w:val="26"/>
        </w:rPr>
        <w:t xml:space="preserve">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23BCE0434</w:t>
            </w:r>
          </w:p>
        </w:tc>
        <w:tc>
          <w:tcPr>
            <w:tcW w:w="5245" w:type="dxa"/>
          </w:tcPr>
          <w:p w14:paraId="4981AEBC"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MITISHA SHARMA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Pr>
                <w:rFonts w:ascii="Times New Roman" w:hAnsi="Times New Roman" w:cs="Times New Roman" w:eastAsia="Times New Roman"/>
                <w:b/>
                <w:bCs/>
                <w:sz w:val="26"/>
                <w:szCs w:val="26"/>
              </w:rPr>
              <w:t xml:space="preserve">23BCE0498</w:t>
            </w:r>
          </w:p>
        </w:tc>
        <w:tc>
          <w:tcPr>
            <w:tcW w:w="5245" w:type="dxa"/>
          </w:tcPr>
          <w:p w14:paraId="515AEA7B"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TANMAY KHAMBETE</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23BCE0500</w:t>
            </w:r>
          </w:p>
        </w:tc>
        <w:tc>
          <w:tcPr>
            <w:tcW w:w="5245" w:type="dxa"/>
          </w:tcPr>
          <w:p w14:paraId="65DE6CA8" w14:textId="77777777" w:rsidR="00566720" w:rsidRPr="00566720" w:rsidRDefault="00566720" w:rsidP="00063581">
            <w:pPr>
              <w:spacing w:line="360" w:lineRule="auto"/>
              <w:rPr>
                <w:b/>
                <w:sz w:val="32"/>
                <w:szCs w:val="32"/>
              </w:rPr>
            </w:pPr>
            <w:r>
              <w:rPr>
                <w:rFonts w:ascii="Times New Roman" w:hAnsi="Times New Roman" w:cs="Times New Roman" w:eastAsia="Times New Roman"/>
                <w:b/>
                <w:bCs/>
                <w:sz w:val="26"/>
                <w:szCs w:val="26"/>
              </w:rPr>
              <w:t xml:space="preserve">AAKAASH SATHYA SARAVANAN</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rFonts w:ascii="Times New Roman" w:hAnsi="Times New Roman" w:cs="Times New Roman" w:eastAsia="Times New Roman"/>
                <w:b/>
                <w:bCs/>
                <w:sz w:val="26"/>
                <w:szCs w:val="26"/>
              </w:rPr>
              <w:t xml:space="preserve">Dr. Kalyanaraman P.</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rFonts w:ascii="Times New Roman" w:hAnsi="Times New Roman" w:cs="Times New Roman" w:eastAsia="Times New Roman"/>
                <w:sz w:val="26"/>
                <w:szCs w:val="26"/>
                <w:highlight w:val="yellow"/>
              </w:rPr>
              <w:t xml:space="preserve">[Designation of the guide]</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rFonts w:ascii="Times New Roman" w:hAnsi="Times New Roman" w:cs="Times New Roman" w:eastAsia="Times New Roman"/>
          <w:sz w:val="24"/>
          <w:szCs w:val="24"/>
        </w:rPr>
        <w:t xml:space="preserve">We hereby declare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us,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to VIT is a record of bonafide work carried out by us under the supervision of Dr. Kalyanaraman P.</w:t>
      </w:r>
    </w:p>
    <w:p w14:paraId="35667CCA" w14:textId="77777777" w:rsidR="00563F5E" w:rsidRDefault="00563F5E" w:rsidP="00563F5E">
      <w:pPr>
        <w:pStyle w:val="BodyText"/>
        <w:spacing w:line="360" w:lineRule="auto"/>
        <w:ind w:left="480" w:right="102" w:firstLine="720"/>
        <w:jc w:val="both"/>
      </w:pPr>
      <w:r>
        <w:rPr>
          <w:rFonts w:ascii="Times New Roman" w:hAnsi="Times New Roman" w:cs="Times New Roman" w:eastAsia="Times New Roman"/>
          <w:sz w:val="24"/>
          <w:szCs w:val="24"/>
        </w:rPr>
        <w:t xml:space="preserve">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Mitisha Sharma</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Tanmay Khambete</w:t>
      </w:r>
    </w:p>
    <w:p>
      <w:pPr>
        <w:spacing w:before="200" w:after="0"/>
        <w:ind w:left="480"/>
      </w:pPr>
      <w:r>
        <w:rPr>
          <w:rFonts w:ascii="Times New Roman" w:hAnsi="Times New Roman" w:cs="Times New Roman" w:eastAsia="Times New Roman"/>
          <w:sz w:val="24"/>
          <w:szCs w:val="24"/>
        </w:rPr>
        <w:t xml:space="preserve">Signature:  ______________________    </w:t>
      </w:r>
      <w:r>
        <w:rPr>
          <w:rFonts w:ascii="Times New Roman" w:hAnsi="Times New Roman" w:cs="Times New Roman" w:eastAsia="Times New Roman"/>
          <w:b/>
          <w:bCs/>
          <w:sz w:val="24"/>
          <w:szCs w:val="24"/>
        </w:rPr>
        <w:t xml:space="preserve">Aakaash Sathya Saravanan</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rFonts w:ascii="Times New Roman" w:hAnsi="Times New Roman" w:cs="Times New Roman" w:eastAsia="Times New Roman"/>
          <w:sz w:val="24"/>
          <w:szCs w:val="24"/>
        </w:rPr>
        <w:t xml:space="preserve">This is to certify that the project entitled </w:t>
      </w:r>
      <w:r>
        <w:rPr>
          <w:rFonts w:ascii="Times New Roman" w:hAnsi="Times New Roman" w:cs="Times New Roman" w:eastAsia="Times New Roman"/>
          <w:b/>
          <w:bCs/>
          <w:sz w:val="24"/>
          <w:szCs w:val="24"/>
        </w:rPr>
        <w:t xml:space="preserve">Object-Centric Event Log Mining for Academic Capstone Processes: A Native OCEL 2.0 Approach</w:t>
      </w:r>
      <w:r>
        <w:rPr>
          <w:rFonts w:ascii="Times New Roman" w:hAnsi="Times New Roman" w:cs="Times New Roman" w:eastAsia="Times New Roman"/>
          <w:sz w:val="24"/>
          <w:szCs w:val="24"/>
        </w:rPr>
        <w:t xml:space="preserve"> submitted by </w:t>
      </w:r>
      <w:r>
        <w:rPr>
          <w:rFonts w:ascii="Times New Roman" w:hAnsi="Times New Roman" w:cs="Times New Roman" w:eastAsia="Times New Roman"/>
          <w:b/>
          <w:bCs/>
          <w:sz w:val="24"/>
          <w:szCs w:val="24"/>
        </w:rPr>
        <w:t xml:space="preserve">Mitisha Sharma (23BCE0434), Tanmay Khambete (23BCE0498) and Aakaash Sathya Saravanan (23BCE0500)</w:t>
      </w:r>
      <w:r>
        <w:rPr>
          <w:rFonts w:ascii="Times New Roman" w:hAnsi="Times New Roman" w:cs="Times New Roman" w:eastAsia="Times New Roman"/>
          <w:sz w:val="24"/>
          <w:szCs w:val="24"/>
        </w:rPr>
        <w:t xml:space="preserve">, School of Computer Science and Engineering, VIT, for the award of the degree of </w:t>
      </w:r>
      <w:r>
        <w:rPr>
          <w:rFonts w:ascii="Times New Roman" w:hAnsi="Times New Roman" w:cs="Times New Roman" w:eastAsia="Times New Roman"/>
          <w:i/>
          <w:iCs/>
          <w:sz w:val="24"/>
          <w:szCs w:val="24"/>
        </w:rPr>
        <w:t xml:space="preserve">Bachelor of Technology in Computer Science and Engineering</w:t>
      </w:r>
      <w:r>
        <w:rPr>
          <w:rFonts w:ascii="Times New Roman" w:hAnsi="Times New Roman" w:cs="Times New Roman" w:eastAsia="Times New Roman"/>
          <w:sz w:val="24"/>
          <w:szCs w:val="24"/>
        </w:rPr>
        <w:t xml:space="preserve">, is a record of bonafide work carried out by them under my supervision during Fall Semester 2026-2027, as per the VIT code of academic and research 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743A427B" w14:textId="77777777" w:rsidR="001E65ED" w:rsidRPr="00CE67F6" w:rsidRDefault="001E65ED" w:rsidP="001E65ED">
      <w:pPr>
        <w:spacing w:line="360" w:lineRule="auto"/>
        <w:jc w:val="center"/>
        <w:rPr>
          <w:b/>
          <w:sz w:val="24"/>
          <w:szCs w:val="24"/>
          <w:highlight w:val="yellow"/>
        </w:rPr>
      </w:pPr>
      <w:r>
        <w:rPr>
          <w:rFonts w:ascii="Times New Roman" w:hAnsi="Times New Roman" w:cs="Times New Roman" w:eastAsia="Times New Roman"/>
          <w:b/>
          <w:bCs/>
          <w:sz w:val="24"/>
          <w:szCs w:val="24"/>
          <w:highlight w:val="yellow"/>
        </w:rPr>
        <w:t xml:space="preserve">[Name of the Head of the Department]</w:t>
      </w:r>
    </w:p>
    <w:p w14:paraId="20C4D10B" w14:textId="7B89751A" w:rsidR="00C20248" w:rsidRDefault="001E65ED" w:rsidP="00EA137F">
      <w:pPr>
        <w:spacing w:line="360" w:lineRule="auto"/>
        <w:jc w:val="center"/>
        <w:rPr>
          <w:rFonts w:ascii="Verdana"/>
        </w:rPr>
      </w:pPr>
      <w:r>
        <w:rPr>
          <w:rFonts w:ascii="Times New Roman" w:hAnsi="Times New Roman" w:cs="Times New Roman" w:eastAsia="Times New Roman"/>
          <w:b/>
          <w:bCs/>
          <w:sz w:val="24"/>
          <w:szCs w:val="24"/>
        </w:rPr>
        <w:t xml:space="preserve">B.Tech. Computer Science and Engineering</w:t>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deeply grateful to the management of Vellore Institute of Technology (VIT) for giving us the opportunity and the resources to take up this project. Their commitment to a conducive learning environment has been important to our academic journey, and the support and infrastructure provided by VIT let us explore and develop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Our sincere thanks to Dr. Jaisankar N, the Dean of the School of Computer Science and Engineering (SCOPE), for the Dean's unwavering support and encouragement. The Dean's leadership and vision have inspired us to strive for excellence, and the dedication to academic excellence and innovation has been a constant source of motivation. We appreciate the effort that goes into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express our profound appreciation to </w:t>
      </w:r>
      <w:r>
        <w:rPr>
          <w:rFonts w:ascii="Times New Roman" w:hAnsi="Times New Roman" w:cs="Times New Roman" w:eastAsia="Times New Roman"/>
          <w:sz w:val="24"/>
          <w:szCs w:val="24"/>
          <w:highlight w:val="yellow"/>
        </w:rPr>
        <w:t xml:space="preserve">[Name of the Head of the Department]</w:t>
      </w:r>
      <w:r>
        <w:rPr>
          <w:rFonts w:ascii="Times New Roman" w:hAnsi="Times New Roman" w:cs="Times New Roman" w:eastAsia="Times New Roman"/>
          <w:sz w:val="24"/>
          <w:szCs w:val="24"/>
        </w:rPr>
        <w:t xml:space="preserve">, the Head of the </w:t>
      </w:r>
      <w:r>
        <w:rPr>
          <w:rFonts w:ascii="Times New Roman" w:hAnsi="Times New Roman" w:cs="Times New Roman" w:eastAsia="Times New Roman"/>
          <w:sz w:val="24"/>
          <w:szCs w:val="24"/>
          <w:highlight w:val="yellow"/>
        </w:rPr>
        <w:t xml:space="preserve">[Department name]</w:t>
      </w:r>
      <w:r>
        <w:rPr>
          <w:rFonts w:ascii="Times New Roman" w:hAnsi="Times New Roman" w:cs="Times New Roman" w:eastAsia="Times New Roman"/>
          <w:sz w:val="24"/>
          <w:szCs w:val="24"/>
        </w:rPr>
        <w:t xml:space="preserve">, for their insightful guidance and continuous support. Their expertise and advice shaped the direction of our project, and the collaborative, supportive atmosphere they keep made learning easier for us.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Pr>
          <w:rFonts w:ascii="Times New Roman" w:hAnsi="Times New Roman" w:cs="Times New Roman" w:eastAsia="Times New Roman"/>
          <w:sz w:val="24"/>
          <w:szCs w:val="24"/>
        </w:rPr>
        <w:t xml:space="preserve">We are immensely thankful to our project guide, Dr. Kalyanaraman P., for their dedicated mentorship and valuable feedback. Their patience, knowledge and encouragement carried us through this project, and the time they spent sharing expertise and giving thoughtful guidance helped us refine our ideas and methods.</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pPr>
        <w:spacing w:before="0" w:after="0"/>
        <w:ind w:left="5000"/>
      </w:pPr>
      <w:r>
        <w:rPr>
          <w:rFonts w:ascii="Times New Roman" w:hAnsi="Times New Roman" w:cs="Times New Roman" w:eastAsia="Times New Roman"/>
          <w:b/>
          <w:bCs/>
          <w:sz w:val="24"/>
          <w:szCs w:val="24"/>
        </w:rPr>
        <w:t xml:space="preserve">Mitisha Sharma</w:t>
      </w:r>
    </w:p>
    <w:p>
      <w:pPr>
        <w:spacing w:before="0" w:after="0"/>
        <w:ind w:left="5000"/>
      </w:pPr>
      <w:r>
        <w:rPr>
          <w:rFonts w:ascii="Times New Roman" w:hAnsi="Times New Roman" w:cs="Times New Roman" w:eastAsia="Times New Roman"/>
          <w:b/>
          <w:bCs/>
          <w:sz w:val="24"/>
          <w:szCs w:val="24"/>
        </w:rPr>
        <w:t xml:space="preserve">Tanmay Khambete</w:t>
      </w:r>
    </w:p>
    <w:p>
      <w:pPr>
        <w:spacing w:before="0" w:after="0"/>
        <w:ind w:left="5000"/>
      </w:pPr>
      <w:r>
        <w:rPr>
          <w:rFonts w:ascii="Times New Roman" w:hAnsi="Times New Roman" w:cs="Times New Roman" w:eastAsia="Times New Roman"/>
          <w:b/>
          <w:bCs/>
          <w:sz w:val="24"/>
          <w:szCs w:val="24"/>
        </w:rPr>
        <w:t xml:space="preserve">Aakaash Sathya Saravanan</w:t>
      </w:r>
    </w:p>
    <w:p w14:paraId="264302DB" w14:textId="77777777" w:rsidR="00C20248" w:rsidRDefault="00C20248">
      <w:pPr>
        <w:widowControl/>
        <w:autoSpaceDE/>
        <w:autoSpaceDN/>
        <w:spacing w:after="160" w:line="259" w:lineRule="auto"/>
        <w:rPr>
          <w:b/>
          <w:sz w:val="24"/>
        </w:rPr>
      </w:pPr>
      <w:r>
        <w:rPr>
          <w:b/>
          <w:sz w:val="24"/>
        </w:rPr>
        <w:br w:type="page"/>
      </w:r>
    </w:p>
    <w:p>
      <w:pPr>
        <w:keepNext/>
        <w:spacing w:before="0" w:after="240" w:line="360" w:lineRule="auto"/>
        <w:jc w:val="center"/>
        <w:outlineLvl w:val="0"/>
      </w:pPr>
      <w:r>
        <w:rPr>
          <w:rFonts w:ascii="Times New Roman" w:hAnsi="Times New Roman" w:cs="Times New Roman" w:eastAsia="Times New Roman"/>
          <w:b/>
          <w:bCs/>
          <w:sz w:val="28"/>
          <w:szCs w:val="28"/>
        </w:rPr>
        <w:t xml:space="preserve">TABLE OF CONTENTS</w:t>
      </w:r>
    </w:p>
    <w:tbl>
      <w:tblPr>
        <w:tblW w:w="9350" w:type="dxa"/>
        <w:jc w:val="center"/>
        <w:tblBorders/>
        <w:tblLayout w:type="fixed"/>
        <w:tblCellMar>
          <w:top w:w="15" w:type="dxa"/>
          <w:left w:w="60" w:type="dxa"/>
          <w:bottom w:w="15" w:type="dxa"/>
          <w:right w:w="60" w:type="dxa"/>
        </w:tblCellMar>
      </w:tblPr>
      <w:tblGrid>
        <w:gridCol w:w="800"/>
        <w:gridCol w:w="7350"/>
        <w:gridCol w:w="1200"/>
      </w:tblGrid>
      <w:tr>
        <w:trPr>
          <w:cantSplit/>
          <w:tblHeader/>
        </w:trPr>
        <w:tc>
          <w:tcPr>
            <w:tcW w:w="800" w:type="dxa"/>
            <w:vAlign w:val="center"/>
          </w:tcPr>
          <w:p>
            <w:pPr>
              <w:spacing w:before="0" w:after="0" w:line="300" w:lineRule="auto"/>
              <w:jc w:val="center"/>
            </w:pPr>
            <w:r>
              <w:rPr>
                <w:rFonts w:ascii="Times New Roman" w:hAnsi="Times New Roman" w:cs="Times New Roman" w:eastAsia="Times New Roman"/>
                <w:b/>
                <w:bCs/>
                <w:sz w:val="22"/>
                <w:szCs w:val="22"/>
              </w:rPr>
              <w:t xml:space="preserve">Sl.No</w:t>
            </w:r>
          </w:p>
        </w:tc>
        <w:tc>
          <w:tcPr>
            <w:tcW w:w="7350" w:type="dxa"/>
            <w:vAlign w:val="center"/>
          </w:tcPr>
          <w:p>
            <w:pPr>
              <w:spacing w:before="0" w:after="0" w:line="300" w:lineRule="auto"/>
              <w:jc w:val="center"/>
            </w:pPr>
            <w:r>
              <w:rPr>
                <w:rFonts w:ascii="Times New Roman" w:hAnsi="Times New Roman" w:cs="Times New Roman" w:eastAsia="Times New Roman"/>
                <w:b/>
                <w:bCs/>
                <w:sz w:val="22"/>
                <w:szCs w:val="22"/>
              </w:rPr>
              <w:t xml:space="preserve">Contents</w:t>
            </w:r>
          </w:p>
        </w:tc>
        <w:tc>
          <w:tcPr>
            <w:tcW w:w="120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Abstract</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_Toc_abstract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x</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1.</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INTRODUCTION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_Toc_ch1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1.1 Background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1.2 Motivations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1.3 Scope of the Project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2.</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DESCRIPTION AND GOALS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_Toc_ch2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3</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2.1 Literature Review</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2.2 Research Gap</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2.3 Objectives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2.4 Problem Statement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2.5 Project Plan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_Toc_2_5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3.</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TECHNICAL SPECIFICATION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_Toc_ch3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 Requirements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3.1.1 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3.1.2 Non-Functional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 Feasibility Study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3.2.1 Technical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3.2.2 Economic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3.2.3 Social Feasibility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 System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3.3.1 Hardware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3.3.2 Software Specification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_Toc_3_3_2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4.</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DESIGN APPROACH AND DETAILS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_Toc_ch4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9</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4.1 System Architecture</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 Design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4.2.1 Data Flow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4.2.2 Use Case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4.2.3 Class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4.2.4 Sequence Diagram</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_Toc_4_2_4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4.3 OCEL 2.0 Model of the Capstone Lifecycle (Design Only)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5.</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METHODOLOGY AND TESTING</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_Toc_ch5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14</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 Module Description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5.1.1 M1: Acquire and Verify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5.1.2 M2: Convert and Load</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5.1.3 M3: Distortion Metrics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5.1.4 M4: Consequence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5.1.5 M5: Predicate Engine (Appendix-Level)</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5.1.6 M6: Validation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5.1.7 M7: Summaries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_Toc_5_1_7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5.2 Testing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16</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6.</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PROJECT DEMONSTRATION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_Toc_ch6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18</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6.1 Step 1: Check that the data is present</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6.2 Step 2: Run the self-check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6.3 Step 3: Distortion of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6.4 Step 4: Consequences for the Enron log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6.5 Step 5: The cross-log summary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_Toc_6_5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19</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7.</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RESULT AND DISCUSSION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_Toc_ch7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20</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7.1 The Seven Logs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7.2 Distortion by Flattening</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7.3 Consequences for Standard Outputs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 Discussion</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7.4.1 Threats to Validity</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7.5 Cost Analysis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8.</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CONCLUSION</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_Toc_ch8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25</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8.1 Limitations</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sz w:val="22"/>
                <w:szCs w:val="22"/>
              </w:rPr>
              <w:t xml:space="preserve">    8.2 Future Work</w:t>
            </w:r>
          </w:p>
        </w:tc>
        <w:tc>
          <w:tcPr>
            <w:tcW w:w="120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_Toc_8_2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25</w:t>
            </w:r>
            <w:r>
              <w:rPr>
                <w:rFonts w:ascii="Times New Roman" w:hAnsi="Times New Roman" w:cs="Times New Roman" w:eastAsia="Times New Roman"/>
                <w:sz w:val="22"/>
                <w:szCs w:val="22"/>
              </w:rPr>
              <w:fldChar w:fldCharType="end"/>
            </w:r>
          </w:p>
        </w:tc>
      </w:tr>
      <w:tr>
        <w:trPr>
          <w:cantSplit/>
        </w:trPr>
        <w:tc>
          <w:tcPr>
            <w:tcW w:w="800" w:type="dxa"/>
            <w:vAlign w:val="center"/>
          </w:tcPr>
          <w:p>
            <w:pPr>
              <w:spacing w:before="0" w:after="0" w:line="300" w:lineRule="auto"/>
              <w:jc w:val="left"/>
            </w:pPr>
            <w:r>
              <w:rPr>
                <w:rFonts w:ascii="Times New Roman" w:hAnsi="Times New Roman" w:cs="Times New Roman" w:eastAsia="Times New Roman"/>
                <w:b/>
                <w:bCs/>
                <w:sz w:val="22"/>
                <w:szCs w:val="22"/>
              </w:rPr>
              <w:t xml:space="preserve">9.</w:t>
            </w: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REFERENCES</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_Toc_refs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26</w:t>
            </w:r>
            <w:r>
              <w:rPr>
                <w:rFonts w:ascii="Times New Roman" w:hAnsi="Times New Roman" w:cs="Times New Roman" w:eastAsia="Times New Roman"/>
                <w:b/>
                <w:sz w:val="22"/>
                <w:szCs w:val="22"/>
              </w:rPr>
              <w:fldChar w:fldCharType="end"/>
            </w:r>
          </w:p>
        </w:tc>
      </w:tr>
      <w:tr>
        <w:trPr>
          <w:cantSplit/>
        </w:trPr>
        <w:tc>
          <w:tcPr>
            <w:tcW w:w="800" w:type="dxa"/>
            <w:vAlign w:val="center"/>
          </w:tcPr>
          <w:p>
            <w:pPr>
              <w:spacing w:before="0" w:after="0" w:line="300" w:lineRule="auto"/>
              <w:jc w:val="left"/>
            </w:pPr>
          </w:p>
        </w:tc>
        <w:tc>
          <w:tcPr>
            <w:tcW w:w="7350" w:type="dxa"/>
            <w:vAlign w:val="center"/>
          </w:tcPr>
          <w:p>
            <w:pPr>
              <w:spacing w:before="0" w:after="0" w:line="300" w:lineRule="auto"/>
              <w:jc w:val="left"/>
            </w:pPr>
            <w:r>
              <w:rPr>
                <w:rFonts w:ascii="Times New Roman" w:hAnsi="Times New Roman" w:cs="Times New Roman" w:eastAsia="Times New Roman"/>
                <w:b/>
                <w:bCs/>
                <w:sz w:val="22"/>
                <w:szCs w:val="22"/>
              </w:rPr>
              <w:t xml:space="preserve">APPENDIX A - SAMPLE CODE</w:t>
            </w:r>
          </w:p>
        </w:tc>
        <w:tc>
          <w:tcPr>
            <w:tcW w:w="1200" w:type="dxa"/>
            <w:vAlign w:val="center"/>
          </w:tcPr>
          <w:p>
            <w:pPr>
              <w:spacing w:before="0" w:after="0" w:line="300" w:lineRule="auto"/>
              <w:jc w:val="center"/>
            </w:pPr>
            <w:r>
              <w:rPr>
                <w:rFonts w:ascii="Times New Roman" w:hAnsi="Times New Roman" w:cs="Times New Roman" w:eastAsia="Times New Roman"/>
                <w:b/>
                <w:sz w:val="22"/>
                <w:szCs w:val="22"/>
              </w:rPr>
              <w:fldChar w:fldCharType="begin"/>
            </w:r>
            <w:r>
              <w:rPr>
                <w:rFonts w:ascii="Times New Roman" w:hAnsi="Times New Roman" w:cs="Times New Roman" w:eastAsia="Times New Roman"/>
                <w:b/>
                <w:sz w:val="22"/>
                <w:szCs w:val="22"/>
              </w:rPr>
              <w:instrText xml:space="preserve"> PAGEREF _Toc_appA \h </w:instrText>
            </w:r>
            <w:r>
              <w:rPr>
                <w:rFonts w:ascii="Times New Roman" w:hAnsi="Times New Roman" w:cs="Times New Roman" w:eastAsia="Times New Roman"/>
                <w:b/>
                <w:sz w:val="22"/>
                <w:szCs w:val="22"/>
              </w:rPr>
              <w:fldChar w:fldCharType="separate"/>
            </w:r>
            <w:r>
              <w:rPr>
                <w:rFonts w:ascii="Times New Roman" w:hAnsi="Times New Roman" w:cs="Times New Roman" w:eastAsia="Times New Roman"/>
                <w:b/>
                <w:sz w:val="22"/>
                <w:szCs w:val="22"/>
              </w:rPr>
              <w:t>27</w:t>
            </w:r>
            <w:r>
              <w:rPr>
                <w:rFonts w:ascii="Times New Roman" w:hAnsi="Times New Roman" w:cs="Times New Roman" w:eastAsia="Times New Roman"/>
                <w:b/>
                <w:sz w:val="22"/>
                <w:szCs w:val="22"/>
              </w:rPr>
              <w:fldChar w:fldCharType="end"/>
            </w:r>
          </w:p>
        </w:tc>
      </w:tr>
    </w:tbl>
    <w:p>
      <w:pPr>
        <w:keepNext/>
        <w:pageBreakBefore/>
        <w:spacing w:before="0" w:after="240" w:line="360" w:lineRule="auto"/>
        <w:jc w:val="center"/>
        <w:outlineLvl w:val="0"/>
      </w:pPr>
      <w:bookmarkStart w:id="806" w:name="_Toc_lof"/>
      <w:r>
        <w:rPr>
          <w:rFonts w:ascii="Times New Roman" w:hAnsi="Times New Roman" w:cs="Times New Roman" w:eastAsia="Times New Roman"/>
          <w:b/>
          <w:bCs/>
          <w:sz w:val="28"/>
          <w:szCs w:val="28"/>
        </w:rPr>
        <w:t xml:space="preserve">LIST OF FIGURES</w:t>
      </w:r>
      <w:bookmarkEnd w:id="806"/>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Figure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Project calendar, August to December 2026 (grey bars are not part of the delivered work)</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System architecture of the flattening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9</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0</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Data flow diagram, level 1</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Use case diagram</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Class diagram of the main structures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4.6</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Sequence diagram of one end-to-end run</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_Fig_4_6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4.7</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relations and events of the capstone lifecycle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_Fig_4_7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Duplication and dropped events for the seven logs, by regime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Object-type pairs that share more than half of their objects across cases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21</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Activity ranking agreement: duplication alone versus the whole process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Entity ranking agreement from a denormalised flat export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Spurious directly-follows edges, worst case notion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_Fig_7_5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23</w:t>
            </w:r>
            <w:r>
              <w:rPr>
                <w:rFonts w:ascii="Times New Roman" w:hAnsi="Times New Roman" w:cs="Times New Roman" w:eastAsia="Times New Roman"/>
                <w:sz w:val="22"/>
                <w:szCs w:val="22"/>
              </w:rPr>
              <w:fldChar w:fldCharType="end"/>
            </w:r>
          </w:p>
        </w:tc>
      </w:tr>
    </w:tbl>
    <w:p>
      <w:pPr>
        <w:spacing w:before="200" w:after="0" w:line="276" w:lineRule="auto"/>
        <w:jc w:val="left"/>
      </w:pPr>
      <w:r>
        <w:rPr>
          <w:rFonts w:ascii="Times New Roman" w:hAnsi="Times New Roman" w:cs="Times New Roman" w:eastAsia="Times New Roman"/>
          <w:i/>
          <w:iCs/>
          <w:sz w:val="20"/>
          <w:szCs w:val="20"/>
        </w:rPr>
        <w:t xml:space="preserve">In the chapters, figure captions are below the figure and table captions are above the table, in font size 10.</w:t>
      </w:r>
    </w:p>
    <w:p>
      <w:pPr>
        <w:keepNext/>
        <w:pageBreakBefore/>
        <w:spacing w:before="0" w:after="240" w:line="360" w:lineRule="auto"/>
        <w:jc w:val="center"/>
        <w:outlineLvl w:val="0"/>
      </w:pPr>
      <w:bookmarkStart w:id="807" w:name="_Toc_lot"/>
      <w:r>
        <w:rPr>
          <w:rFonts w:ascii="Times New Roman" w:hAnsi="Times New Roman" w:cs="Times New Roman" w:eastAsia="Times New Roman"/>
          <w:b/>
          <w:bCs/>
          <w:sz w:val="28"/>
          <w:szCs w:val="28"/>
        </w:rPr>
        <w:t xml:space="preserve">LIST OF TABLES</w:t>
      </w:r>
      <w:bookmarkEnd w:id="807"/>
    </w:p>
    <w:tbl>
      <w:tblPr>
        <w:tblW w:w="9350" w:type="dxa"/>
        <w:jc w:val="center"/>
        <w:tblBorders/>
        <w:tblLayout w:type="fixed"/>
        <w:tblCellMar>
          <w:top w:w="15" w:type="dxa"/>
          <w:left w:w="60" w:type="dxa"/>
          <w:bottom w:w="15" w:type="dxa"/>
          <w:right w:w="60" w:type="dxa"/>
        </w:tblCellMar>
      </w:tblPr>
      <w:tblGrid>
        <w:gridCol w:w="1300"/>
        <w:gridCol w:w="6800"/>
        <w:gridCol w:w="1250"/>
      </w:tblGrid>
      <w:tr>
        <w:trPr>
          <w:cantSplit/>
          <w:tblHeader/>
        </w:trPr>
        <w:tc>
          <w:tcPr>
            <w:tcW w:w="1300" w:type="dxa"/>
            <w:vAlign w:val="center"/>
          </w:tcPr>
          <w:p>
            <w:pPr>
              <w:spacing w:before="0" w:after="0" w:line="300" w:lineRule="auto"/>
              <w:jc w:val="center"/>
            </w:pPr>
            <w:r>
              <w:rPr>
                <w:rFonts w:ascii="Times New Roman" w:hAnsi="Times New Roman" w:cs="Times New Roman" w:eastAsia="Times New Roman"/>
                <w:b/>
                <w:bCs/>
                <w:sz w:val="22"/>
                <w:szCs w:val="22"/>
              </w:rPr>
              <w:t xml:space="preserve">Table No.</w:t>
            </w:r>
          </w:p>
        </w:tc>
        <w:tc>
          <w:tcPr>
            <w:tcW w:w="6800" w:type="dxa"/>
            <w:vAlign w:val="center"/>
          </w:tcPr>
          <w:p>
            <w:pPr>
              <w:spacing w:before="0" w:after="0" w:line="300" w:lineRule="auto"/>
              <w:jc w:val="center"/>
            </w:pPr>
            <w:r>
              <w:rPr>
                <w:rFonts w:ascii="Times New Roman" w:hAnsi="Times New Roman" w:cs="Times New Roman" w:eastAsia="Times New Roman"/>
                <w:b/>
                <w:bCs/>
                <w:sz w:val="22"/>
                <w:szCs w:val="22"/>
              </w:rPr>
              <w:t xml:space="preserve">Title</w:t>
            </w:r>
          </w:p>
        </w:tc>
        <w:tc>
          <w:tcPr>
            <w:tcW w:w="1250" w:type="dxa"/>
            <w:vAlign w:val="center"/>
          </w:tcPr>
          <w:p>
            <w:pPr>
              <w:spacing w:before="0" w:after="0" w:line="300" w:lineRule="auto"/>
              <w:jc w:val="center"/>
            </w:pPr>
            <w:r>
              <w:rPr>
                <w:rFonts w:ascii="Times New Roman" w:hAnsi="Times New Roman" w:cs="Times New Roman" w:eastAsia="Times New Roman"/>
                <w:b/>
                <w:bCs/>
                <w:sz w:val="22"/>
                <w:szCs w:val="22"/>
              </w:rPr>
              <w:t xml:space="preserve">Page No.</w:t>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1.1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Scope of the project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_Tab_1_1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Summary of the reviewed literature</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2.2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Work packages and status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_Tab_2_2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Non-functional requirements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6</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items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Hardware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3.5</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Software used</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_Tab_3_5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4.1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Object types of the capstone model</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_Tab_4_1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13</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Sources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14</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Distortion metrics for a case notion T</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15</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5.3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Verification checks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_Tab_5_3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17</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6.1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Demonstration steps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_Tab_6_1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18</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7.1</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Profile of the seven logs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_Tab_7_1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7.2</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Flattening distortion per log (analysed case notions)</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_Tab_7_2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20</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7.3</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Consequences of flattening per log</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_Tab_7_3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22</w:t>
            </w:r>
            <w:r>
              <w:rPr>
                <w:rFonts w:ascii="Times New Roman" w:hAnsi="Times New Roman" w:cs="Times New Roman" w:eastAsia="Times New Roman"/>
                <w:sz w:val="22"/>
                <w:szCs w:val="22"/>
              </w:rPr>
              <w:fldChar w:fldCharType="end"/>
            </w:r>
          </w:p>
        </w:tc>
      </w:tr>
      <w:tr>
        <w:trPr>
          <w:cantSplit/>
        </w:trPr>
        <w:tc>
          <w:tcPr>
            <w:tcW w:w="1300" w:type="dxa"/>
            <w:vAlign w:val="center"/>
          </w:tcPr>
          <w:p>
            <w:pPr>
              <w:spacing w:before="0" w:after="0" w:line="300" w:lineRule="auto"/>
              <w:jc w:val="center"/>
            </w:pPr>
            <w:r>
              <w:rPr>
                <w:rFonts w:ascii="Times New Roman" w:hAnsi="Times New Roman" w:cs="Times New Roman" w:eastAsia="Times New Roman"/>
                <w:sz w:val="22"/>
                <w:szCs w:val="22"/>
              </w:rPr>
              <w:t xml:space="preserve">7.4</w:t>
            </w:r>
          </w:p>
        </w:tc>
        <w:tc>
          <w:tcPr>
            <w:tcW w:w="6800" w:type="dxa"/>
            <w:vAlign w:val="center"/>
          </w:tcPr>
          <w:p>
            <w:pPr>
              <w:spacing w:before="0" w:after="0" w:line="300" w:lineRule="auto"/>
              <w:jc w:val="left"/>
            </w:pPr>
            <w:r>
              <w:rPr>
                <w:rFonts w:ascii="Times New Roman" w:hAnsi="Times New Roman" w:cs="Times New Roman" w:eastAsia="Times New Roman"/>
                <w:sz w:val="22"/>
                <w:szCs w:val="22"/>
              </w:rPr>
              <w:t xml:space="preserve">Cost of producing and reproducing the study</w:t>
            </w:r>
          </w:p>
        </w:tc>
        <w:tc>
          <w:tcPr>
            <w:tcW w:w="1250" w:type="dxa"/>
            <w:vAlign w:val="center"/>
          </w:tcPr>
          <w:p>
            <w:pPr>
              <w:spacing w:before="0" w:after="0" w:line="300" w:lineRule="auto"/>
              <w:jc w:val="center"/>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PAGEREF _Tab_7_4 \h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sz w:val="22"/>
                <w:szCs w:val="22"/>
              </w:rPr>
              <w:t>24</w:t>
            </w:r>
            <w:r>
              <w:rPr>
                <w:rFonts w:ascii="Times New Roman" w:hAnsi="Times New Roman" w:cs="Times New Roman" w:eastAsia="Times New Roman"/>
                <w:sz w:val="22"/>
                <w:szCs w:val="22"/>
              </w:rPr>
              <w:fldChar w:fldCharType="end"/>
            </w:r>
          </w:p>
        </w:tc>
      </w:tr>
    </w:tbl>
    <w:p>
      <w:pPr>
        <w:keepNext/>
        <w:pageBreakBefore/>
        <w:spacing w:before="0" w:after="240" w:line="360" w:lineRule="auto"/>
        <w:jc w:val="center"/>
        <w:outlineLvl w:val="0"/>
      </w:pPr>
      <w:bookmarkStart w:id="808" w:name="_Toc_abbr"/>
      <w:r>
        <w:rPr>
          <w:rFonts w:ascii="Times New Roman" w:hAnsi="Times New Roman" w:cs="Times New Roman" w:eastAsia="Times New Roman"/>
          <w:b/>
          <w:bCs/>
          <w:sz w:val="28"/>
          <w:szCs w:val="28"/>
        </w:rPr>
        <w:t xml:space="preserve">LIST OF ABBREVIATIONS</w:t>
      </w:r>
      <w:bookmarkEnd w:id="808"/>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AGPL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GNU Affero General Public Licence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AoE2</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Age of Empires II</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CC BY</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Creative Commons Attribution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COOC</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Cross-Object Observability Coverage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CSV</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Comma-Separated Values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Directly-Follows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DFD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Data Flow Diagram</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E2O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Event-to-Object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HTTP</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Hypertext Transfer Protocol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JSON</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JavaScript Object Notation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MD5</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Message-Digest Algorithm 5</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MSR</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Mining Software Repositories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O2O</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Object-to-Object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OCEL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Object-Centric Event Log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OULAD</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Open University Learning Analytics Dataset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SCOPE</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School of Computer Science and Engineering</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SDG</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Sustainable Development Goal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SHA-256</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Secure Hash Algorithm, 256-bit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SQL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Structured Query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TRL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Technology Readiness Level</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UCI</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University of California, Irvine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Unified Modeling Language</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VIT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Vellore Institute of Technology</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XML</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Extensible Markup Language</w:t>
            </w:r>
          </w:p>
        </w:tc>
      </w:tr>
    </w:tbl>
    <w:p>
      <w:pPr>
        <w:keepNext/>
        <w:pageBreakBefore/>
        <w:spacing w:before="0" w:after="240" w:line="360" w:lineRule="auto"/>
        <w:jc w:val="center"/>
        <w:outlineLvl w:val="0"/>
      </w:pPr>
      <w:bookmarkStart w:id="809" w:name="_Toc_sym"/>
      <w:r>
        <w:rPr>
          <w:rFonts w:ascii="Times New Roman" w:hAnsi="Times New Roman" w:cs="Times New Roman" w:eastAsia="Times New Roman"/>
          <w:b/>
          <w:bCs/>
          <w:sz w:val="28"/>
          <w:szCs w:val="28"/>
        </w:rPr>
        <w:t xml:space="preserve">SYMBOLS AND NOTATIONS</w:t>
      </w:r>
      <w:bookmarkEnd w:id="809"/>
    </w:p>
    <w:tbl>
      <w:tblPr>
        <w:tblW w:w="9350" w:type="dxa"/>
        <w:jc w:val="center"/>
        <w:tblBorders/>
        <w:tblLayout w:type="fixed"/>
        <w:tblCellMar>
          <w:top w:w="15" w:type="dxa"/>
          <w:left w:w="60" w:type="dxa"/>
          <w:bottom w:w="15" w:type="dxa"/>
          <w:right w:w="60" w:type="dxa"/>
        </w:tblCellMar>
      </w:tblPr>
      <w:tblGrid>
        <w:gridCol w:w="2000"/>
        <w:gridCol w:w="7350"/>
      </w:tblGrid>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Object type chosen as the case notion</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U</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Another object type, the entities being ranked or nested inside 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δ(T)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Deficiency: share of events with no T-object</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κ(T)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Convergence share: share of covered events related to two or more T-objects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c(T)</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Copies per event: flat rows divided by covered events</w:t>
            </w:r>
          </w:p>
        </w:tc>
      </w:tr>
      <w:tr>
        <w:trPr>
          <w:cantSplit/>
        </w:trPr>
        <w:tc>
          <w:tcPr>
            <w:tcW w:w="2000" w:type="dxa"/>
            <w:vAlign w:val="center"/>
          </w:tcPr>
          <w:p>
            <w:pPr>
              <w:spacing w:before="0" w:after="0" w:line="300" w:lineRule="auto"/>
              <w:jc w:val="left"/>
            </w:pPr>
            <w:r>
              <w:rPr>
                <w:rFonts w:ascii="Times New Roman" w:hAnsi="Times New Roman" w:cs="Times New Roman" w:eastAsia="Times New Roman"/>
                <w:b/>
                <w:bCs/>
                <w:sz w:val="24"/>
                <w:szCs w:val="24"/>
              </w:rPr>
              <w:t xml:space="preserve">ρ</w:t>
            </w:r>
          </w:p>
        </w:tc>
        <w:tc>
          <w:tcPr>
            <w:tcW w:w="7350" w:type="dxa"/>
            <w:vAlign w:val="center"/>
          </w:tcPr>
          <w:p>
            <w:pPr>
              <w:spacing w:before="0" w:after="0" w:line="300" w:lineRule="auto"/>
              <w:jc w:val="left"/>
            </w:pPr>
            <w:r>
              <w:rPr>
                <w:rFonts w:ascii="Times New Roman" w:hAnsi="Times New Roman" w:cs="Times New Roman" w:eastAsia="Times New Roman"/>
                <w:sz w:val="24"/>
                <w:szCs w:val="24"/>
              </w:rPr>
              <w:t xml:space="preserve">Spearman rank correlation coefficient</w:t>
            </w:r>
          </w:p>
        </w:tc>
      </w:tr>
    </w:tbl>
    <w:p>
      <w:pPr>
        <w:keepNext/>
        <w:pageBreakBefore/>
        <w:spacing w:before="0" w:after="240" w:line="360" w:lineRule="auto"/>
        <w:jc w:val="center"/>
        <w:outlineLvl w:val="0"/>
      </w:pPr>
      <w:bookmarkStart w:id="810" w:name="_Toc_abstract"/>
      <w:r>
        <w:rPr>
          <w:rFonts w:ascii="Times New Roman" w:hAnsi="Times New Roman" w:cs="Times New Roman" w:eastAsia="Times New Roman"/>
          <w:b/>
          <w:bCs/>
          <w:sz w:val="32"/>
          <w:szCs w:val="32"/>
        </w:rPr>
        <w:t xml:space="preserve">ABSTRACT</w:t>
      </w:r>
      <w:bookmarkEnd w:id="810"/>
    </w:p>
    <w:p>
      <w:pPr>
        <w:spacing w:before="0" w:after="140" w:line="276" w:lineRule="auto"/>
        <w:jc w:val="both"/>
      </w:pPr>
      <w:r>
        <w:rPr>
          <w:rFonts w:ascii="Times New Roman" w:hAnsi="Times New Roman" w:cs="Times New Roman" w:eastAsia="Times New Roman"/>
          <w:sz w:val="24"/>
          <w:szCs w:val="24"/>
        </w:rPr>
        <w:t xml:space="preserve">Imagine one click on a capstone portal. A student leader submits a report, and that single event touches a project, a team, three students, a guide and a report version. Process mining wants every event in exactly one case, so something has to give. Flatten the event to one case notion and it can be copied into several cases (convergence), dropped altogether (deficiency) or mixed up with repeated events that belong to other objects (divergence). Object-centric event logs, in the OCEL 2.0 standard, keep the many-to-many links instead.</w:t>
      </w:r>
    </w:p>
    <w:p>
      <w:pPr>
        <w:spacing w:before="0" w:after="140" w:line="276" w:lineRule="auto"/>
        <w:jc w:val="both"/>
      </w:pPr>
      <w:r>
        <w:rPr>
          <w:rFonts w:ascii="Times New Roman" w:hAnsi="Times New Roman" w:cs="Times New Roman" w:eastAsia="Times New Roman"/>
          <w:sz w:val="24"/>
          <w:szCs w:val="24"/>
        </w:rPr>
        <w:t xml:space="preserve">We began this project to study capstone review processes with OCEL 2.0, and then we couldn't get portal logs. We also found no public capstone or thesis-management event log. So we changed what we claim. The capstone stays as a documented OCEL 2.0 design, and we measured flattening on seven real public logs: Gerrit code review (CROP), Open University learning analytics (OULAD), Angular commits, German Bundestag procedures, Enron e-mail, an Ethereum window and Age of Empires II matches. No synthetic or simulated data was used anywhere.</w:t>
      </w:r>
    </w:p>
    <w:p>
      <w:pPr>
        <w:spacing w:before="0" w:after="140" w:line="276" w:lineRule="auto"/>
        <w:jc w:val="both"/>
      </w:pPr>
      <w:r>
        <w:rPr>
          <w:rFonts w:ascii="Times New Roman" w:hAnsi="Times New Roman" w:cs="Times New Roman" w:eastAsia="Times New Roman"/>
          <w:sz w:val="24"/>
          <w:szCs w:val="24"/>
        </w:rPr>
        <w:t xml:space="preserve">We built a reproducible pipeline that downloads and checks each source, converts the Gerrit and OULAD data to OCEL 2.0, computes flattening distortion for 38 case notions, and compares what an analyst would read off a flat view against the object-centric one: activity rankings, directly-follows edges, process variants and entity rankings.</w:t>
      </w:r>
    </w:p>
    <w:p>
      <w:pPr>
        <w:spacing w:before="0" w:after="140" w:line="276" w:lineRule="auto"/>
        <w:jc w:val="both"/>
      </w:pPr>
      <w:r>
        <w:rPr>
          <w:rFonts w:ascii="Times New Roman" w:hAnsi="Times New Roman" w:cs="Times New Roman" w:eastAsia="Times New Roman"/>
          <w:sz w:val="24"/>
          <w:szCs w:val="24"/>
        </w:rPr>
        <w:t xml:space="preserve">The logs fall into three groups. In star logs (CROP, OULAD) every event touches one object of each type, so flattening copies nothing. In partitioned logs (Bundestag, Age of Empires II, Ethereum) one case notion drops 69% to 91% of the events in the median. In fan-out logs (Angular, Enron) flattening does duplicate events, up to 81.65 copies of one event in Angular. Duplication alone rarely changes an activity ranking, since only 2 of 38 case notions fall below a rank correlation of 0.95. The bigger effect is narrowing: in 20 of 38 case notions the flat log shows fewer than half of the process's activities. Counting rows in a denormalised flat export can also wreck an entity ranking, with worst-case rank correlations of 0.16 (Enron), -0.01 (Ethereum) and -0.41 (Age of Empires II).</w:t>
      </w:r>
    </w:p>
    <w:p>
      <w:pPr>
        <w:spacing w:before="0" w:after="140" w:line="276" w:lineRule="auto"/>
        <w:jc w:val="both"/>
      </w:pPr>
      <w:r>
        <w:rPr>
          <w:rFonts w:ascii="Times New Roman" w:hAnsi="Times New Roman" w:cs="Times New Roman" w:eastAsia="Times New Roman"/>
          <w:sz w:val="24"/>
          <w:szCs w:val="24"/>
        </w:rPr>
        <w:t xml:space="preserve">We checked parts of the pipeline with an independent SQL implementation, a brute-force self-check, an independent recomputation of the OULAD counts and byte-identical re-runs. Those checks caught three bugs of our own, which we fixed. The distortion metrics themselves have no second implementation yet, nobody outside the team has labelled the findings, and the capstone model is still a design that hasn't met portal data. A journal manuscript is in preparation and hasn't been submitted.</w:t>
      </w:r>
    </w:p>
    <w:p>
      <w:pPr>
        <w:sectPr>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1</w:t>
      </w:r>
    </w:p>
    <w:p>
      <w:pPr>
        <w:keepNext/>
        <w:spacing w:before="0" w:after="240" w:line="276" w:lineRule="auto"/>
        <w:jc w:val="center"/>
        <w:outlineLvl w:val="0"/>
      </w:pPr>
      <w:bookmarkStart w:id="1001" w:name="_Toc_ch1"/>
      <w:r>
        <w:rPr>
          <w:rFonts w:ascii="Times New Roman" w:hAnsi="Times New Roman" w:cs="Times New Roman" w:eastAsia="Times New Roman"/>
          <w:b/>
          <w:bCs/>
          <w:sz w:val="28"/>
          <w:szCs w:val="28"/>
        </w:rPr>
        <w:t xml:space="preserve">INTRODUCTION</w:t>
      </w:r>
      <w:bookmarkEnd w:id="1001"/>
    </w:p>
    <w:p>
      <w:pPr>
        <w:keepNext/>
        <w:spacing w:before="200" w:after="100" w:line="276" w:lineRule="auto"/>
        <w:outlineLvl w:val="1"/>
      </w:pPr>
      <w:bookmarkStart w:id="1002" w:name="_Toc_1_1"/>
      <w:r>
        <w:rPr>
          <w:rFonts w:ascii="Times New Roman" w:hAnsi="Times New Roman" w:cs="Times New Roman" w:eastAsia="Times New Roman"/>
          <w:b/>
          <w:bCs/>
          <w:sz w:val="24"/>
          <w:szCs w:val="24"/>
        </w:rPr>
        <w:t xml:space="preserve">1.1  Background</w:t>
      </w:r>
      <w:bookmarkEnd w:id="1002"/>
    </w:p>
    <w:p>
      <w:pPr>
        <w:spacing w:before="0" w:after="120" w:line="276" w:lineRule="auto"/>
        <w:jc w:val="both"/>
      </w:pPr>
      <w:r>
        <w:rPr>
          <w:rFonts w:ascii="Times New Roman" w:hAnsi="Times New Roman" w:cs="Times New Roman" w:eastAsia="Times New Roman"/>
          <w:sz w:val="24"/>
          <w:szCs w:val="24"/>
        </w:rPr>
        <w:t xml:space="preserve">Think about what happens when a student leader clicks submit on a capstone report. One click, and that single event touches the project, the team, three students, the guide who will verify it and the report version going in. Ask a process-mining tool to draw the process and it asks back: which one of these is the case?</w:t>
      </w:r>
    </w:p>
    <w:p>
      <w:pPr>
        <w:spacing w:before="0" w:after="120" w:line="276" w:lineRule="auto"/>
        <w:jc w:val="both"/>
      </w:pPr>
      <w:r>
        <w:rPr>
          <w:rFonts w:ascii="Times New Roman" w:hAnsi="Times New Roman" w:cs="Times New Roman" w:eastAsia="Times New Roman"/>
          <w:sz w:val="24"/>
          <w:szCs w:val="24"/>
        </w:rPr>
        <w:t xml:space="preserve">That question is the reason this project exists. Classic process mining starts from an event log where every event has a case identifier, an activity name and a timestamp, and everything built on top of it (discovery, conformance checking, bottleneck analysis) assumes that each event belongs to exactly one case.</w:t>
      </w:r>
    </w:p>
    <w:p>
      <w:pPr>
        <w:spacing w:before="0" w:after="120" w:line="276" w:lineRule="auto"/>
        <w:jc w:val="both"/>
      </w:pPr>
      <w:r>
        <w:rPr>
          <w:rFonts w:ascii="Times New Roman" w:hAnsi="Times New Roman" w:cs="Times New Roman" w:eastAsia="Times New Roman"/>
          <w:sz w:val="24"/>
          <w:szCs w:val="24"/>
        </w:rPr>
        <w:t xml:space="preserve">Pick the project as the case and the project's story stays together, but the guide's workload across all projects disappears. Pick the student and the same submission shows up three times, once per team member. We like to think of it as a group photo. A flat view cuts one person out of the picture. We can cut out everybody, one after another, but the pile of cut-outs never tells us who was standing next to whom.</w:t>
      </w:r>
    </w:p>
    <w:p>
      <w:pPr>
        <w:spacing w:before="0" w:after="120" w:line="276" w:lineRule="auto"/>
        <w:jc w:val="both"/>
      </w:pPr>
      <w:r>
        <w:rPr>
          <w:rFonts w:ascii="Times New Roman" w:hAnsi="Times New Roman" w:cs="Times New Roman" w:eastAsia="Times New Roman"/>
          <w:sz w:val="24"/>
          <w:szCs w:val="24"/>
        </w:rPr>
        <w:t xml:space="preserve">The literature has names for the damage. Copy one event into several cases and you get </w:t>
      </w:r>
      <w:r>
        <w:rPr>
          <w:rFonts w:ascii="Times New Roman" w:hAnsi="Times New Roman" w:cs="Times New Roman" w:eastAsia="Times New Roman"/>
          <w:i/>
          <w:iCs/>
          <w:sz w:val="24"/>
          <w:szCs w:val="24"/>
        </w:rPr>
        <w:t xml:space="preserve">convergence</w:t>
      </w:r>
      <w:r>
        <w:rPr>
          <w:rFonts w:ascii="Times New Roman" w:hAnsi="Times New Roman" w:cs="Times New Roman" w:eastAsia="Times New Roman"/>
          <w:sz w:val="24"/>
          <w:szCs w:val="24"/>
        </w:rPr>
        <w:t xml:space="preserve">. Mix up repeated events that really belong to different other objects and you get </w:t>
      </w:r>
      <w:r>
        <w:rPr>
          <w:rFonts w:ascii="Times New Roman" w:hAnsi="Times New Roman" w:cs="Times New Roman" w:eastAsia="Times New Roman"/>
          <w:i/>
          <w:iCs/>
          <w:sz w:val="24"/>
          <w:szCs w:val="24"/>
        </w:rPr>
        <w:t xml:space="preserve">divergence</w:t>
      </w:r>
      <w:r>
        <w:rPr>
          <w:rFonts w:ascii="Times New Roman" w:hAnsi="Times New Roman" w:cs="Times New Roman" w:eastAsia="Times New Roman"/>
          <w:sz w:val="24"/>
          <w:szCs w:val="24"/>
        </w:rPr>
        <w:t xml:space="preserve"> [1]. And events that have no object of the chosen type simply vanish from the flat log, which is called </w:t>
      </w:r>
      <w:r>
        <w:rPr>
          <w:rFonts w:ascii="Times New Roman" w:hAnsi="Times New Roman" w:cs="Times New Roman" w:eastAsia="Times New Roman"/>
          <w:i/>
          <w:iCs/>
          <w:sz w:val="24"/>
          <w:szCs w:val="24"/>
        </w:rPr>
        <w:t xml:space="preserve">deficiency</w:t>
      </w:r>
      <w:r>
        <w:rPr>
          <w:rFonts w:ascii="Times New Roman" w:hAnsi="Times New Roman" w:cs="Times New Roman" w:eastAsia="Times New Roman"/>
          <w:sz w:val="24"/>
          <w:szCs w:val="24"/>
        </w:rPr>
        <w:t xml:space="preserve">.</w:t>
      </w:r>
    </w:p>
    <w:p>
      <w:pPr>
        <w:spacing w:before="0" w:after="120" w:line="276" w:lineRule="auto"/>
        <w:jc w:val="both"/>
      </w:pPr>
      <w:r>
        <w:rPr>
          <w:rFonts w:ascii="Times New Roman" w:hAnsi="Times New Roman" w:cs="Times New Roman" w:eastAsia="Times New Roman"/>
          <w:sz w:val="24"/>
          <w:szCs w:val="24"/>
        </w:rPr>
        <w:t xml:space="preserve">Object-centric event logs skip the choice. One event can point at any number of objects, each with a type, and objects can be linked to each other too. OCEL 2.0 [2] turns this into a standard: JSON, XML and SQLite formats, a qualifier on every link, and object attributes that can change over time.</w:t>
      </w:r>
    </w:p>
    <w:p>
      <w:pPr>
        <w:spacing w:before="0" w:after="120" w:line="276" w:lineRule="auto"/>
        <w:jc w:val="both"/>
      </w:pPr>
      <w:r>
        <w:rPr>
          <w:rFonts w:ascii="Times New Roman" w:hAnsi="Times New Roman" w:cs="Times New Roman" w:eastAsia="Times New Roman"/>
          <w:sz w:val="24"/>
          <w:szCs w:val="24"/>
        </w:rPr>
        <w:t xml:space="preserve">People have started to show why this matters. Keeping the object graph helps machine-learning tasks on process data more than flattened features do [3], and Adams and van der Aalst [4] address convergence, divergence and deficiency together. One-to-many links produced false directly-follows relations in a food-company case study [5], and object-centric data has quality problems of its own [6]. In education, Miri et al. [7] turned Moodle activity into OCEL and found that group and resource links stay invisible in a student-centric log.</w:t>
      </w:r>
    </w:p>
    <w:p>
      <w:pPr>
        <w:spacing w:before="0" w:after="120" w:line="276" w:lineRule="auto"/>
        <w:jc w:val="both"/>
      </w:pPr>
      <w:r>
        <w:rPr>
          <w:rFonts w:ascii="Times New Roman" w:hAnsi="Times New Roman" w:cs="Times New Roman" w:eastAsia="Times New Roman"/>
          <w:sz w:val="24"/>
          <w:szCs w:val="24"/>
        </w:rPr>
        <w:t xml:space="preserve">What we couldn't find was a study that counts these effects across several real logs. Everyone agrees flattening hurts. Nobody tells you by how much. Public data has caught up, though: the Open University Learning Analytics Dataset (OULAD) [8] covers students, courses and assessments, and CROP [9] links Gerrit code reviews to code changes, a close cousin of a report review.</w:t>
      </w:r>
    </w:p>
    <w:p>
      <w:pPr>
        <w:spacing w:before="0" w:after="120" w:line="276" w:lineRule="auto"/>
        <w:jc w:val="both"/>
      </w:pPr>
      <w:r>
        <w:rPr>
          <w:rFonts w:ascii="Times New Roman" w:hAnsi="Times New Roman" w:cs="Times New Roman" w:eastAsia="Times New Roman"/>
          <w:sz w:val="24"/>
          <w:szCs w:val="24"/>
        </w:rPr>
        <w:t xml:space="preserve">A capstone has the same shape. Hassani et al. [10] describe a department supervising more than 250 final-year computing projects, and Premchaiswadi and Porouhan [11] mined an online peer-review process and found bottlenecks and rule violations in how reviewers were handled. The Educational Capstone Portal, whose architecture is documented in our project repository, handles registration, team formation, report compilation, three review stages, faculty decisions and scoring, and it writes an audit-log row for every state change. That is about as object-centric as a process gets.</w:t>
      </w:r>
    </w:p>
    <w:p>
      <w:pPr>
        <w:spacing w:before="0" w:after="120" w:line="276" w:lineRule="auto"/>
        <w:jc w:val="both"/>
      </w:pPr>
      <w:r>
        <w:rPr>
          <w:rFonts w:ascii="Times New Roman" w:hAnsi="Times New Roman" w:cs="Times New Roman" w:eastAsia="Times New Roman"/>
          <w:sz w:val="24"/>
          <w:szCs w:val="24"/>
        </w:rPr>
        <w:t xml:space="preserve">We set out to study exactly that process, and then hit a wall. We couldn't get portal logs, and we found no public capstone or thesis-management event log anywhere. So we changed what we claim. The capstone stays as a documented OCEL 2.0 design, and the measuring happens on seven real public logs [12]. This report keeps the two parts apart so nobody has to guess which is which.</w:t>
      </w:r>
    </w:p>
    <w:p>
      <w:pPr>
        <w:keepNext/>
        <w:spacing w:before="200" w:after="100" w:line="276" w:lineRule="auto"/>
        <w:outlineLvl w:val="1"/>
      </w:pPr>
      <w:bookmarkStart w:id="1003" w:name="_Toc_1_2"/>
      <w:r>
        <w:rPr>
          <w:rFonts w:ascii="Times New Roman" w:hAnsi="Times New Roman" w:cs="Times New Roman" w:eastAsia="Times New Roman"/>
          <w:b/>
          <w:bCs/>
          <w:sz w:val="24"/>
          <w:szCs w:val="24"/>
        </w:rPr>
        <w:t xml:space="preserve">1.2  Motivations</w:t>
      </w:r>
      <w:bookmarkEnd w:id="1003"/>
    </w:p>
    <w:p>
      <w:pPr>
        <w:spacing w:before="0" w:after="120" w:line="276" w:lineRule="auto"/>
        <w:jc w:val="both"/>
      </w:pPr>
      <w:r>
        <w:rPr>
          <w:rFonts w:ascii="Times New Roman" w:hAnsi="Times New Roman" w:cs="Times New Roman" w:eastAsia="Times New Roman"/>
          <w:sz w:val="24"/>
          <w:szCs w:val="24"/>
        </w:rPr>
        <w:t xml:space="preserve">Number one, flattening happens quietly. Tools do it by default, and they rarely tell the analyst how much was copied, dropped or mixed up.</w:t>
      </w:r>
    </w:p>
    <w:p>
      <w:pPr>
        <w:spacing w:before="0" w:after="120" w:line="276" w:lineRule="auto"/>
        <w:jc w:val="both"/>
      </w:pPr>
      <w:r>
        <w:rPr>
          <w:rFonts w:ascii="Times New Roman" w:hAnsi="Times New Roman" w:cs="Times New Roman" w:eastAsia="Times New Roman"/>
          <w:sz w:val="24"/>
          <w:szCs w:val="24"/>
        </w:rPr>
        <w:t xml:space="preserve">Number two, the evidence is thin. Convergence and divergence get explained with toy examples or a single case study. We found nothing that reports how often and how badly they show up on several real logs.</w:t>
      </w:r>
    </w:p>
    <w:p>
      <w:pPr>
        <w:spacing w:before="0" w:after="120" w:line="276" w:lineRule="auto"/>
        <w:jc w:val="both"/>
      </w:pPr>
      <w:r>
        <w:rPr>
          <w:rFonts w:ascii="Times New Roman" w:hAnsi="Times New Roman" w:cs="Times New Roman" w:eastAsia="Times New Roman"/>
          <w:sz w:val="24"/>
          <w:szCs w:val="24"/>
        </w:rPr>
        <w:t xml:space="preserve">Number three, capstones are coordination work. The questions people actually ask (is one guide overloaded, which team keeps resubmitting) cut across cases, so a case-centric view is the wrong shape for them.</w:t>
      </w:r>
    </w:p>
    <w:p>
      <w:pPr>
        <w:spacing w:before="0" w:after="120" w:line="276" w:lineRule="auto"/>
        <w:jc w:val="both"/>
      </w:pPr>
      <w:r>
        <w:rPr>
          <w:rFonts w:ascii="Times New Roman" w:hAnsi="Times New Roman" w:cs="Times New Roman" w:eastAsia="Times New Roman"/>
          <w:sz w:val="24"/>
          <w:szCs w:val="24"/>
        </w:rPr>
        <w:t xml:space="preserve">Number four, we can only claim what we can reach. Portal data isn't available to us, so a re-runnable measurement on public logs is the strongest evidence we can produce.</w:t>
      </w:r>
    </w:p>
    <w:p>
      <w:pPr>
        <w:keepNext/>
        <w:spacing w:before="200" w:after="100" w:line="276" w:lineRule="auto"/>
        <w:outlineLvl w:val="1"/>
      </w:pPr>
      <w:bookmarkStart w:id="1004" w:name="_Toc_1_3"/>
      <w:r>
        <w:rPr>
          <w:rFonts w:ascii="Times New Roman" w:hAnsi="Times New Roman" w:cs="Times New Roman" w:eastAsia="Times New Roman"/>
          <w:b/>
          <w:bCs/>
          <w:sz w:val="24"/>
          <w:szCs w:val="24"/>
        </w:rPr>
        <w:t xml:space="preserve">1.3  Scope of the Project</w:t>
      </w:r>
      <w:bookmarkEnd w:id="1004"/>
    </w:p>
    <w:p>
      <w:pPr>
        <w:spacing w:before="0" w:after="120" w:line="276" w:lineRule="auto"/>
        <w:jc w:val="both"/>
      </w:pPr>
      <w:r>
        <w:rPr>
          <w:rFonts w:ascii="Times New Roman" w:hAnsi="Times New Roman" w:cs="Times New Roman" w:eastAsia="Times New Roman"/>
          <w:sz w:val="24"/>
          <w:szCs w:val="24"/>
        </w:rPr>
        <w:t xml:space="preserve">Table 1.1 says what the project covers and what it doesn't. We'd rather write the limits down ourselves than have a reader dig them out.</w:t>
      </w:r>
    </w:p>
    <w:p>
      <w:pPr>
        <w:keepNext/>
        <w:spacing w:before="160" w:after="80" w:line="240" w:lineRule="auto"/>
        <w:jc w:val="center"/>
      </w:pPr>
      <w:bookmarkStart w:id="1005" w:name="_Tab_1_1"/>
      <w:r>
        <w:rPr>
          <w:rFonts w:ascii="Times New Roman" w:hAnsi="Times New Roman" w:cs="Times New Roman" w:eastAsia="Times New Roman"/>
          <w:b/>
          <w:bCs/>
          <w:sz w:val="20"/>
          <w:szCs w:val="20"/>
        </w:rPr>
        <w:t xml:space="preserve">Table 1.1: </w:t>
      </w:r>
      <w:r>
        <w:rPr>
          <w:rFonts w:ascii="Times New Roman" w:hAnsi="Times New Roman" w:cs="Times New Roman" w:eastAsia="Times New Roman"/>
          <w:sz w:val="20"/>
          <w:szCs w:val="20"/>
        </w:rPr>
        <w:t xml:space="preserve">Scope of the project</w:t>
      </w:r>
      <w:bookmarkEnd w:id="100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537"/>
        <w:gridCol w:w="4537"/>
      </w:tblGrid>
      <w:tr>
        <w:trPr>
          <w:cantSplit/>
          <w:tblHeader/>
        </w:trPr>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 scope</w:t>
            </w:r>
          </w:p>
        </w:tc>
        <w:tc>
          <w:tcPr>
            <w:tcW w:w="45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Out of scope</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 OCEL 2.0 model of the capstone lifecycle, designed from the portal documentation</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Any claim about how real capstone teams behave; no portal data was used</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re-runnable pipeline: download, verify, convert, load, analyse</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Process-discovery quality and predictive monitoring on flat versus object-centric logs</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Flattening distortion for 38 case notions on seven real public logs</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human labelling of the findings by a second rater</w:t>
            </w:r>
          </w:p>
        </w:tc>
      </w:tr>
      <w:tr>
        <w:trPr>
          <w:cantSplit/>
        </w:trPr>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A consequence analysis: activity rankings, directly-follows edges, variants and entity rankings, flat versus object-centric</w:t>
            </w:r>
          </w:p>
        </w:tc>
        <w:tc>
          <w:tcPr>
            <w:tcW w:w="4537" w:type="dxa"/>
            <w:vAlign w:val="center"/>
          </w:tcPr>
          <w:p>
            <w:pPr>
              <w:keepNext/>
              <w:spacing w:before="0" w:after="0" w:line="240" w:lineRule="auto"/>
              <w:jc w:val="left"/>
            </w:pPr>
            <w:r>
              <w:rPr>
                <w:rFonts w:ascii="Times New Roman" w:hAnsi="Times New Roman" w:cs="Times New Roman" w:eastAsia="Times New Roman"/>
                <w:sz w:val="20"/>
                <w:szCs w:val="20"/>
              </w:rPr>
              <w:t xml:space="preserve">Integrating a portal adapter; this is future work</w:t>
            </w:r>
          </w:p>
        </w:tc>
      </w:tr>
      <w:tr>
        <w:trPr>
          <w:cantSplit/>
        </w:trPr>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Independent checks of our own code, and a documented list of bugs they found</w:t>
            </w:r>
          </w:p>
        </w:tc>
        <w:tc>
          <w:tcPr>
            <w:tcW w:w="4537" w:type="dxa"/>
            <w:vAlign w:val="center"/>
          </w:tcPr>
          <w:p>
            <w:pPr>
              <w:spacing w:before="0" w:after="0" w:line="240" w:lineRule="auto"/>
              <w:jc w:val="left"/>
            </w:pPr>
            <w:r>
              <w:rPr>
                <w:rFonts w:ascii="Times New Roman" w:hAnsi="Times New Roman" w:cs="Times New Roman" w:eastAsia="Times New Roman"/>
                <w:sz w:val="20"/>
                <w:szCs w:val="20"/>
              </w:rPr>
              <w:t xml:space="preserve">Synthetic or simulated data of any kind</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Two more things. A rule-based engine from our earlier work stays in the appendix, since eleven rules on two logs can't support a conclusion. And a Moodle log from the University of Cádiz was downloaded as an eighth source but isn't used in any result.</w:t>
      </w:r>
    </w:p>
    <w:p>
      <w:pPr>
        <w:spacing w:before="0" w:after="120" w:line="276" w:lineRule="auto"/>
        <w:jc w:val="both"/>
      </w:pPr>
      <w:r>
        <w:rPr>
          <w:rFonts w:ascii="Times New Roman" w:hAnsi="Times New Roman" w:cs="Times New Roman" w:eastAsia="Times New Roman"/>
          <w:sz w:val="24"/>
          <w:szCs w:val="24"/>
        </w:rPr>
        <w:t xml:space="preserve">Chapter 2 covers the literature and the plan, Chapter 3 requirements and feasibility, Chapter 4 the design, Chapter 5 modules and testing, Chapter 6 the demonstration, Chapter 7 results and cost, Chapter 8 the conclusion, Chapter 9 the references. Appendix A has sample code.</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2</w:t>
      </w:r>
    </w:p>
    <w:p>
      <w:pPr>
        <w:keepNext/>
        <w:spacing w:before="0" w:after="240" w:line="276" w:lineRule="auto"/>
        <w:jc w:val="center"/>
        <w:outlineLvl w:val="0"/>
      </w:pPr>
      <w:bookmarkStart w:id="1006" w:name="_Toc_ch2"/>
      <w:r>
        <w:rPr>
          <w:rFonts w:ascii="Times New Roman" w:hAnsi="Times New Roman" w:cs="Times New Roman" w:eastAsia="Times New Roman"/>
          <w:b/>
          <w:bCs/>
          <w:sz w:val="28"/>
          <w:szCs w:val="28"/>
        </w:rPr>
        <w:t xml:space="preserve">PROJECT DESCRIPTION AND GOALS</w:t>
      </w:r>
      <w:bookmarkEnd w:id="1006"/>
    </w:p>
    <w:p>
      <w:pPr>
        <w:keepNext/>
        <w:spacing w:before="200" w:after="100" w:line="276" w:lineRule="auto"/>
        <w:outlineLvl w:val="1"/>
      </w:pPr>
      <w:bookmarkStart w:id="1007" w:name="_Toc_2_1"/>
      <w:r>
        <w:rPr>
          <w:rFonts w:ascii="Times New Roman" w:hAnsi="Times New Roman" w:cs="Times New Roman" w:eastAsia="Times New Roman"/>
          <w:b/>
          <w:bCs/>
          <w:sz w:val="24"/>
          <w:szCs w:val="24"/>
        </w:rPr>
        <w:t xml:space="preserve">2.1  Literature Review</w:t>
      </w:r>
      <w:bookmarkEnd w:id="1007"/>
    </w:p>
    <w:p>
      <w:pPr>
        <w:spacing w:before="0" w:after="120" w:line="276" w:lineRule="auto"/>
        <w:jc w:val="both"/>
      </w:pPr>
      <w:r>
        <w:rPr>
          <w:rFonts w:ascii="Times New Roman" w:hAnsi="Times New Roman" w:cs="Times New Roman" w:eastAsia="Times New Roman"/>
          <w:sz w:val="24"/>
          <w:szCs w:val="24"/>
        </w:rPr>
        <w:t xml:space="preserve">We read in four groups: the flattening problem itself, the OCEL format, what flattening does to results and to data quality, and the education and capstone papers. Table 2.1 sums up the ones that matter most for our questions. The full list is in Chapter 9.</w:t>
      </w:r>
    </w:p>
    <w:p>
      <w:pPr>
        <w:keepNext/>
        <w:spacing w:before="160" w:after="80" w:line="240" w:lineRule="auto"/>
        <w:jc w:val="center"/>
      </w:pPr>
      <w:bookmarkStart w:id="1008" w:name="_Tab_2_1"/>
      <w:r>
        <w:rPr>
          <w:rFonts w:ascii="Times New Roman" w:hAnsi="Times New Roman" w:cs="Times New Roman" w:eastAsia="Times New Roman"/>
          <w:b/>
          <w:bCs/>
          <w:sz w:val="20"/>
          <w:szCs w:val="20"/>
        </w:rPr>
        <w:t xml:space="preserve">Table 2.1: </w:t>
      </w:r>
      <w:r>
        <w:rPr>
          <w:rFonts w:ascii="Times New Roman" w:hAnsi="Times New Roman" w:cs="Times New Roman" w:eastAsia="Times New Roman"/>
          <w:sz w:val="20"/>
          <w:szCs w:val="20"/>
        </w:rPr>
        <w:t xml:space="preserve">Summary of the reviewed literature</w:t>
      </w:r>
      <w:bookmarkEnd w:id="1008"/>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575"/>
        <w:gridCol w:w="1701"/>
        <w:gridCol w:w="1890"/>
        <w:gridCol w:w="2016"/>
        <w:gridCol w:w="1890"/>
      </w:tblGrid>
      <w:tr>
        <w:trPr>
          <w:cantSplit/>
          <w:tblHeader/>
        </w:trPr>
        <w:tc>
          <w:tcPr>
            <w:tcW w:w="157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Ref.</w:t>
            </w:r>
          </w:p>
        </w:tc>
        <w:tc>
          <w:tcPr>
            <w:tcW w:w="170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Objective</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Method</w:t>
            </w:r>
          </w:p>
        </w:tc>
        <w:tc>
          <w:tcPr>
            <w:tcW w:w="2016"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Strength and limitation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Finding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van der Aalst (2019) [1]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Name the problems of one-case-per-event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Conceptual analysis with worked examples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Defines convergence and divergence. No measurement on real logs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Flattening copies events across cases or mis-orders them</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Berti et al. (2024) [2]</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A standard exchange format for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OCEL 2.0 specification: JSON, XML, SQLite, qualifiers, O2O links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Expressive, with tool support. Extraction still needs domain decisions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 event can relate to many typed objects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Adams, Park, van der Aalst (2023) [3]</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Keep object-centric graph structure for machine learning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Compare graph encodings with flattened features on predictive tasks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Shows the value of structure. Focus is prediction, not analysis outputs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Structure-preserving encodings are favoured over flattening</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Waibel et al. (2022) [5]</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Causal structure from relational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Causal event graph on one food-company case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Avoids false edges. Only one case study</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One-to-many and many-to-many links give spurious directly-follows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Kabierski et al. (2026) [6]</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Classify quality issues in object-centric data</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Classification checked on real logs and practitioner interviews</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Practitioner-validated. Classifies issues but gives no distortion rates</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data has quality problems of its own, e.g. wrong object relations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Miri et al. (2026) [7]</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Object-centric educational process mining</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Moodle to OCEL conversion, real course case study</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First educational use. One course, not a transactional lifecycle</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Group and resource links are invisible in student-centric logs</w:t>
            </w:r>
          </w:p>
        </w:tc>
      </w:tr>
      <w:tr>
        <w:trPr>
          <w:cantSplit/>
        </w:trPr>
        <w:tc>
          <w:tcPr>
            <w:tcW w:w="1575" w:type="dxa"/>
            <w:vAlign w:val="center"/>
          </w:tcPr>
          <w:p>
            <w:pPr>
              <w:keepNext/>
              <w:spacing w:before="0" w:after="0" w:line="240" w:lineRule="auto"/>
              <w:jc w:val="left"/>
            </w:pPr>
            <w:r>
              <w:rPr>
                <w:rFonts w:ascii="Times New Roman" w:hAnsi="Times New Roman" w:cs="Times New Roman" w:eastAsia="Times New Roman"/>
                <w:sz w:val="17"/>
                <w:szCs w:val="17"/>
              </w:rPr>
              <w:t xml:space="preserve">Premchaiswadi, Porouhan (2015) [11]</w:t>
            </w:r>
          </w:p>
        </w:tc>
        <w:tc>
          <w:tcPr>
            <w:tcW w:w="1701" w:type="dxa"/>
            <w:vAlign w:val="center"/>
          </w:tcPr>
          <w:p>
            <w:pPr>
              <w:keepNext/>
              <w:spacing w:before="0" w:after="0" w:line="240" w:lineRule="auto"/>
              <w:jc w:val="left"/>
            </w:pPr>
            <w:r>
              <w:rPr>
                <w:rFonts w:ascii="Times New Roman" w:hAnsi="Times New Roman" w:cs="Times New Roman" w:eastAsia="Times New Roman"/>
                <w:sz w:val="17"/>
                <w:szCs w:val="17"/>
              </w:rPr>
              <w:t xml:space="preserve">Mine a peer-review process in an online system</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Event log from review handling; discovery and conformance</w:t>
            </w:r>
          </w:p>
        </w:tc>
        <w:tc>
          <w:tcPr>
            <w:tcW w:w="2016" w:type="dxa"/>
            <w:vAlign w:val="center"/>
          </w:tcPr>
          <w:p>
            <w:pPr>
              <w:keepNext/>
              <w:spacing w:before="0" w:after="0" w:line="240" w:lineRule="auto"/>
              <w:jc w:val="left"/>
            </w:pPr>
            <w:r>
              <w:rPr>
                <w:rFonts w:ascii="Times New Roman" w:hAnsi="Times New Roman" w:cs="Times New Roman" w:eastAsia="Times New Roman"/>
                <w:sz w:val="17"/>
                <w:szCs w:val="17"/>
              </w:rPr>
              <w:t xml:space="preserve">Real review workflow. One case notion</w:t>
            </w:r>
          </w:p>
        </w:tc>
        <w:tc>
          <w:tcPr>
            <w:tcW w:w="1890" w:type="dxa"/>
            <w:vAlign w:val="center"/>
          </w:tcPr>
          <w:p>
            <w:pPr>
              <w:keepNext/>
              <w:spacing w:before="0" w:after="0" w:line="240" w:lineRule="auto"/>
              <w:jc w:val="left"/>
            </w:pPr>
            <w:r>
              <w:rPr>
                <w:rFonts w:ascii="Times New Roman" w:hAnsi="Times New Roman" w:cs="Times New Roman" w:eastAsia="Times New Roman"/>
                <w:sz w:val="17"/>
                <w:szCs w:val="17"/>
              </w:rPr>
              <w:t xml:space="preserve">Bottlenecks and rule violations found in reviewer handling</w:t>
            </w:r>
          </w:p>
        </w:tc>
      </w:tr>
      <w:tr>
        <w:trPr>
          <w:cantSplit/>
        </w:trPr>
        <w:tc>
          <w:tcPr>
            <w:tcW w:w="1575" w:type="dxa"/>
            <w:vAlign w:val="center"/>
          </w:tcPr>
          <w:p>
            <w:pPr>
              <w:spacing w:before="0" w:after="0" w:line="240" w:lineRule="auto"/>
              <w:jc w:val="left"/>
            </w:pPr>
            <w:r>
              <w:rPr>
                <w:rFonts w:ascii="Times New Roman" w:hAnsi="Times New Roman" w:cs="Times New Roman" w:eastAsia="Times New Roman"/>
                <w:sz w:val="17"/>
                <w:szCs w:val="17"/>
              </w:rPr>
              <w:t xml:space="preserve">Hassani et al. (2018) [10]</w:t>
            </w:r>
          </w:p>
        </w:tc>
        <w:tc>
          <w:tcPr>
            <w:tcW w:w="1701" w:type="dxa"/>
            <w:vAlign w:val="center"/>
          </w:tcPr>
          <w:p>
            <w:pPr>
              <w:spacing w:before="0" w:after="0" w:line="240" w:lineRule="auto"/>
              <w:jc w:val="left"/>
            </w:pPr>
            <w:r>
              <w:rPr>
                <w:rFonts w:ascii="Times New Roman" w:hAnsi="Times New Roman" w:cs="Times New Roman" w:eastAsia="Times New Roman"/>
                <w:sz w:val="17"/>
                <w:szCs w:val="17"/>
              </w:rPr>
              <w:t xml:space="preserve">Manage more than 250 computing final-year projects</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Case study of supervision, panels and rubrics</w:t>
            </w:r>
          </w:p>
        </w:tc>
        <w:tc>
          <w:tcPr>
            <w:tcW w:w="2016" w:type="dxa"/>
            <w:vAlign w:val="center"/>
          </w:tcPr>
          <w:p>
            <w:pPr>
              <w:spacing w:before="0" w:after="0" w:line="240" w:lineRule="auto"/>
              <w:jc w:val="left"/>
            </w:pPr>
            <w:r>
              <w:rPr>
                <w:rFonts w:ascii="Times New Roman" w:hAnsi="Times New Roman" w:cs="Times New Roman" w:eastAsia="Times New Roman"/>
                <w:sz w:val="17"/>
                <w:szCs w:val="17"/>
              </w:rPr>
              <w:t xml:space="preserve">Real capstone practice. No event data</w:t>
            </w:r>
          </w:p>
        </w:tc>
        <w:tc>
          <w:tcPr>
            <w:tcW w:w="1890" w:type="dxa"/>
            <w:vAlign w:val="center"/>
          </w:tcPr>
          <w:p>
            <w:pPr>
              <w:spacing w:before="0" w:after="0" w:line="240" w:lineRule="auto"/>
              <w:jc w:val="left"/>
            </w:pPr>
            <w:r>
              <w:rPr>
                <w:rFonts w:ascii="Times New Roman" w:hAnsi="Times New Roman" w:cs="Times New Roman" w:eastAsia="Times New Roman"/>
                <w:sz w:val="17"/>
                <w:szCs w:val="17"/>
              </w:rPr>
              <w:t xml:space="preserve">Capstones need coordinated supervision, submission and assessment</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Start with the problem. van der Aalst [1] explained why one-case-per-event logs misrepresent processes with several interacting entities, and Adams and van der Aalst [4] went on to cover convergence, divergence and deficiency together. Both papers are conceptual. Neither tells you how often these effects turn up in real data.</w:t>
      </w:r>
    </w:p>
    <w:p>
      <w:pPr>
        <w:spacing w:before="0" w:after="120" w:line="276" w:lineRule="auto"/>
        <w:jc w:val="both"/>
      </w:pPr>
      <w:r>
        <w:rPr>
          <w:rFonts w:ascii="Times New Roman" w:hAnsi="Times New Roman" w:cs="Times New Roman" w:eastAsia="Times New Roman"/>
          <w:sz w:val="24"/>
          <w:szCs w:val="24"/>
        </w:rPr>
        <w:t xml:space="preserve">OCEL 2.0 [2] is the format we build on. It stores events, objects, event-to-object (E2O) links and object-to-object (O2O) links, each with qualifiers, in JSON, XML or SQLite. Our own converters write the SQLite form, and we read the JSON and XML forms of the public logs.</w:t>
      </w:r>
    </w:p>
    <w:p>
      <w:pPr>
        <w:spacing w:before="0" w:after="120" w:line="276" w:lineRule="auto"/>
        <w:jc w:val="both"/>
      </w:pPr>
      <w:r>
        <w:rPr>
          <w:rFonts w:ascii="Times New Roman" w:hAnsi="Times New Roman" w:cs="Times New Roman" w:eastAsia="Times New Roman"/>
          <w:sz w:val="24"/>
          <w:szCs w:val="24"/>
        </w:rPr>
        <w:t xml:space="preserve">On consequences, Waibel et al. [5] used a causal event graph to show that one-to-many links produce false directly-follows edges, but only on one company's data. Kabierski et al. [6] sorted the quality issues of object-centric data into classes. They describe the kinds of problems and don't count them. Adams et al. [3] showed that keeping the object graph helps predictive tasks.</w:t>
      </w:r>
    </w:p>
    <w:p>
      <w:pPr>
        <w:spacing w:before="0" w:after="120" w:line="276" w:lineRule="auto"/>
        <w:jc w:val="both"/>
      </w:pPr>
      <w:r>
        <w:rPr>
          <w:rFonts w:ascii="Times New Roman" w:hAnsi="Times New Roman" w:cs="Times New Roman" w:eastAsia="Times New Roman"/>
          <w:sz w:val="24"/>
          <w:szCs w:val="24"/>
        </w:rPr>
        <w:t xml:space="preserve">For education, Miri et al. [7] is our closest neighbour, since they ran object-centric mining on Moodle data. So no, we're not the first to use OCEL in education, and we say so. Premchaiswadi and Porouhan [11] mined an online peer-review process with a single case notion, and Hassani et al. [10] describe how a department supervises a large number of final-year projects, with no event data.</w:t>
      </w:r>
    </w:p>
    <w:p>
      <w:pPr>
        <w:keepNext/>
        <w:spacing w:before="200" w:after="100" w:line="276" w:lineRule="auto"/>
        <w:outlineLvl w:val="1"/>
      </w:pPr>
      <w:bookmarkStart w:id="1009" w:name="_Toc_2_2"/>
      <w:r>
        <w:rPr>
          <w:rFonts w:ascii="Times New Roman" w:hAnsi="Times New Roman" w:cs="Times New Roman" w:eastAsia="Times New Roman"/>
          <w:b/>
          <w:bCs/>
          <w:sz w:val="24"/>
          <w:szCs w:val="24"/>
        </w:rPr>
        <w:t xml:space="preserve">2.2  Research Gap</w:t>
      </w:r>
      <w:bookmarkEnd w:id="1009"/>
    </w:p>
    <w:p>
      <w:pPr>
        <w:spacing w:before="0" w:after="120" w:line="276" w:lineRule="auto"/>
        <w:jc w:val="both"/>
      </w:pPr>
      <w:r>
        <w:rPr>
          <w:rFonts w:ascii="Times New Roman" w:hAnsi="Times New Roman" w:cs="Times New Roman" w:eastAsia="Times New Roman"/>
          <w:sz w:val="24"/>
          <w:szCs w:val="24"/>
        </w:rPr>
        <w:t xml:space="preserve">Read the table as a whole and three gaps show up.</w:t>
      </w:r>
    </w:p>
    <w:p>
      <w:pPr>
        <w:spacing w:before="0" w:after="120" w:line="276" w:lineRule="auto"/>
        <w:jc w:val="both"/>
      </w:pPr>
      <w:r>
        <w:rPr>
          <w:rFonts w:ascii="Times New Roman" w:hAnsi="Times New Roman" w:cs="Times New Roman" w:eastAsia="Times New Roman"/>
          <w:sz w:val="24"/>
          <w:szCs w:val="24"/>
        </w:rPr>
        <w:t xml:space="preserve">The first is that flattening problems are named but not measured. Convergence and divergence appear as toy or single-case examples, and most object-centric evidence we found uses simulated logs.</w:t>
      </w:r>
    </w:p>
    <w:p>
      <w:pPr>
        <w:spacing w:before="0" w:after="120" w:line="276" w:lineRule="auto"/>
        <w:jc w:val="both"/>
      </w:pPr>
      <w:r>
        <w:rPr>
          <w:rFonts w:ascii="Times New Roman" w:hAnsi="Times New Roman" w:cs="Times New Roman" w:eastAsia="Times New Roman"/>
          <w:sz w:val="24"/>
          <w:szCs w:val="24"/>
        </w:rPr>
        <w:t xml:space="preserve">The second is that education and capstone work stays on learning-platform data. Object-centric educational mining uses Moodle activity. A review lifecycle with submit, review, reject, resubmit and score has no public object-centric dataset.</w:t>
      </w:r>
    </w:p>
    <w:p>
      <w:pPr>
        <w:spacing w:before="0" w:after="120" w:line="276" w:lineRule="auto"/>
        <w:jc w:val="both"/>
      </w:pPr>
      <w:r>
        <w:rPr>
          <w:rFonts w:ascii="Times New Roman" w:hAnsi="Times New Roman" w:cs="Times New Roman" w:eastAsia="Times New Roman"/>
          <w:sz w:val="24"/>
          <w:szCs w:val="24"/>
        </w:rPr>
        <w:t xml:space="preserve">The third is the awkward one. Capstone portal logs can't be had. Searches of Zenodo, 4TU and the web found no public capstone or thesis-management event log, so we can't test the capstone claim directly.</w:t>
      </w:r>
    </w:p>
    <w:p>
      <w:pPr>
        <w:spacing w:before="0" w:after="120" w:line="276" w:lineRule="auto"/>
        <w:jc w:val="both"/>
      </w:pPr>
      <w:r>
        <w:rPr>
          <w:rFonts w:ascii="Times New Roman" w:hAnsi="Times New Roman" w:cs="Times New Roman" w:eastAsia="Times New Roman"/>
          <w:sz w:val="24"/>
          <w:szCs w:val="24"/>
        </w:rPr>
        <w:t xml:space="preserve">Our way in is to measure on real review-like and multi-entity logs, give the capstone an OCEL 2.0 model, and write down the limits.</w:t>
      </w:r>
    </w:p>
    <w:p>
      <w:pPr>
        <w:keepNext/>
        <w:spacing w:before="200" w:after="100" w:line="276" w:lineRule="auto"/>
        <w:outlineLvl w:val="1"/>
      </w:pPr>
      <w:bookmarkStart w:id="1010" w:name="_Toc_2_3"/>
      <w:r>
        <w:rPr>
          <w:rFonts w:ascii="Times New Roman" w:hAnsi="Times New Roman" w:cs="Times New Roman" w:eastAsia="Times New Roman"/>
          <w:b/>
          <w:bCs/>
          <w:sz w:val="24"/>
          <w:szCs w:val="24"/>
        </w:rPr>
        <w:t xml:space="preserve">2.3  Objectives</w:t>
      </w:r>
      <w:bookmarkEnd w:id="1010"/>
    </w:p>
    <w:p>
      <w:pPr>
        <w:spacing w:before="0" w:after="120" w:line="276" w:lineRule="auto"/>
        <w:jc w:val="both"/>
      </w:pPr>
      <w:r>
        <w:rPr>
          <w:rFonts w:ascii="Times New Roman" w:hAnsi="Times New Roman" w:cs="Times New Roman" w:eastAsia="Times New Roman"/>
          <w:sz w:val="24"/>
          <w:szCs w:val="24"/>
        </w:rPr>
        <w:t xml:space="preserve">The project has five objectives, in the order we worked on them.</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O1. Model the capstone lifecycle as OCEL 2.0 from the documented portal behaviour.</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O2. Build a reproducible pipeline: download, verify, convert, load and analyse.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O3. Measure flattening distortion on seven real logs without hand-picked rules.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O4. Compare standard outputs (activity rankings, directly-follows edges, variants, entity counts) between flat and object-centric views.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O5. Verify every result with independent checks and keep the code re-runnable.</w:t>
      </w:r>
    </w:p>
    <w:p>
      <w:pPr>
        <w:spacing w:before="0" w:after="120" w:line="276" w:lineRule="auto"/>
        <w:jc w:val="both"/>
      </w:pPr>
      <w:r>
        <w:rPr>
          <w:rFonts w:ascii="Times New Roman" w:hAnsi="Times New Roman" w:cs="Times New Roman" w:eastAsia="Times New Roman"/>
          <w:sz w:val="24"/>
          <w:szCs w:val="24"/>
        </w:rPr>
        <w:t xml:space="preserve">The work touches two of the United Nations Sustainable Development Goals: Goal 4, Quality Education, since it is about how academic review processes get recorded and understood, and Goal 9, Industry, Innovation and Infrastructure, since it adds open tooling for object-centric process data. On the Technology Readiness Level scale we put the pipeline at TRL 4 (validated in the laboratory, on seven public logs) and portal integration at TRL 2 to 3. Those levels are our own estimate.</w:t>
      </w:r>
    </w:p>
    <w:p>
      <w:pPr>
        <w:keepNext/>
        <w:spacing w:before="200" w:after="100" w:line="276" w:lineRule="auto"/>
        <w:outlineLvl w:val="1"/>
      </w:pPr>
      <w:bookmarkStart w:id="1011" w:name="_Toc_2_4"/>
      <w:r>
        <w:rPr>
          <w:rFonts w:ascii="Times New Roman" w:hAnsi="Times New Roman" w:cs="Times New Roman" w:eastAsia="Times New Roman"/>
          <w:b/>
          <w:bCs/>
          <w:sz w:val="24"/>
          <w:szCs w:val="24"/>
        </w:rPr>
        <w:t xml:space="preserve">2.4  Problem Statement</w:t>
      </w:r>
      <w:bookmarkEnd w:id="1011"/>
    </w:p>
    <w:p>
      <w:pPr>
        <w:spacing w:before="0" w:after="120" w:line="276" w:lineRule="auto"/>
        <w:jc w:val="both"/>
      </w:pPr>
      <w:r>
        <w:rPr>
          <w:rFonts w:ascii="Times New Roman" w:hAnsi="Times New Roman" w:cs="Times New Roman" w:eastAsia="Times New Roman"/>
          <w:sz w:val="24"/>
          <w:szCs w:val="24"/>
        </w:rPr>
        <w:t xml:space="preserve">We have an object-centric event log with several object types, and we pick one type as the case notion. Two questions follow. How much does the flat log differ from the object-centric one, meaning how many events get copied, how many get dropped and how many get mixed up? And do those differences change what an analyst reads off a chart: activity rankings, directly-follows edges, process variants, entity rankings? We have to answer both on real data only, with checks that don't depend on our own code, and we have to specify the capstone lifecycle in OCEL 2.0 even though no portal data exists.</w:t>
      </w:r>
    </w:p>
    <w:p>
      <w:pPr>
        <w:keepNext/>
        <w:spacing w:before="200" w:after="100" w:line="276" w:lineRule="auto"/>
        <w:outlineLvl w:val="1"/>
      </w:pPr>
      <w:bookmarkStart w:id="1012" w:name="_Toc_2_5"/>
      <w:r>
        <w:rPr>
          <w:rFonts w:ascii="Times New Roman" w:hAnsi="Times New Roman" w:cs="Times New Roman" w:eastAsia="Times New Roman"/>
          <w:b/>
          <w:bCs/>
          <w:sz w:val="24"/>
          <w:szCs w:val="24"/>
        </w:rPr>
        <w:t xml:space="preserve">2.5  Project Plan</w:t>
      </w:r>
      <w:bookmarkEnd w:id="1012"/>
    </w:p>
    <w:p>
      <w:pPr>
        <w:spacing w:before="0" w:after="120" w:line="276" w:lineRule="auto"/>
        <w:jc w:val="both"/>
      </w:pPr>
      <w:r>
        <w:rPr>
          <w:rFonts w:ascii="Times New Roman" w:hAnsi="Times New Roman" w:cs="Times New Roman" w:eastAsia="Times New Roman"/>
          <w:sz w:val="24"/>
          <w:szCs w:val="24"/>
        </w:rPr>
        <w:t xml:space="preserve">Figure 2.1 shows the calendar. A word on Review 2 first. We presented a prototype there that was evaluated on synthetic data. The team then decided to use real data only, so that prototype and its results are out of this work, and the plan below reflects what happened after that decision.</w:t>
      </w:r>
    </w:p>
    <w:p>
      <w:pPr>
        <w:keepNext/>
        <w:spacing w:before="120" w:after="60" w:line="240" w:lineRule="auto"/>
        <w:jc w:val="center"/>
      </w:pPr>
      <w:r>
        <w:drawing>
          <wp:inline distT="0" distB="0" distL="0" distR="0">
            <wp:extent cx="5394960" cy="2509283"/>
            <wp:docPr id="501" name="Figure 2.1" descr="Project calendar, August to December 2026 (grey bars are not part of the delivere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_timeline.png"/>
                    <pic:cNvPicPr/>
                  </pic:nvPicPr>
                  <pic:blipFill>
                    <a:blip r:embed="rIdImg1"/>
                    <a:stretch>
                      <a:fillRect/>
                    </a:stretch>
                  </pic:blipFill>
                  <pic:spPr>
                    <a:xfrm>
                      <a:off x="0" y="0"/>
                      <a:ext cx="5394960" cy="2509283"/>
                    </a:xfrm>
                    <a:prstGeom prst="rect">
                      <a:avLst/>
                    </a:prstGeom>
                  </pic:spPr>
                </pic:pic>
              </a:graphicData>
            </a:graphic>
          </wp:inline>
        </w:drawing>
      </w:r>
    </w:p>
    <w:p>
      <w:pPr>
        <w:spacing w:before="0" w:after="200" w:line="240" w:lineRule="auto"/>
        <w:jc w:val="center"/>
      </w:pPr>
      <w:bookmarkStart w:id="1013" w:name="_Fig_2_1"/>
      <w:r>
        <w:rPr>
          <w:rFonts w:ascii="Times New Roman" w:hAnsi="Times New Roman" w:cs="Times New Roman" w:eastAsia="Times New Roman"/>
          <w:b/>
          <w:bCs/>
          <w:sz w:val="20"/>
          <w:szCs w:val="20"/>
        </w:rPr>
        <w:t xml:space="preserve">Figure 2.1: </w:t>
      </w:r>
      <w:r>
        <w:rPr>
          <w:rFonts w:ascii="Times New Roman" w:hAnsi="Times New Roman" w:cs="Times New Roman" w:eastAsia="Times New Roman"/>
          <w:sz w:val="20"/>
          <w:szCs w:val="20"/>
        </w:rPr>
        <w:t xml:space="preserve">Project calendar, August to December 2026 (grey bars are not part of the delivered work)</w:t>
      </w:r>
      <w:bookmarkEnd w:id="1013"/>
    </w:p>
    <w:p>
      <w:pPr>
        <w:keepNext/>
        <w:spacing w:before="160" w:after="80" w:line="240" w:lineRule="auto"/>
        <w:jc w:val="center"/>
      </w:pPr>
      <w:bookmarkStart w:id="1014" w:name="_Tab_2_2"/>
      <w:r>
        <w:rPr>
          <w:rFonts w:ascii="Times New Roman" w:hAnsi="Times New Roman" w:cs="Times New Roman" w:eastAsia="Times New Roman"/>
          <w:b/>
          <w:bCs/>
          <w:sz w:val="20"/>
          <w:szCs w:val="20"/>
        </w:rPr>
        <w:t xml:space="preserve">Table 2.2: </w:t>
      </w:r>
      <w:r>
        <w:rPr>
          <w:rFonts w:ascii="Times New Roman" w:hAnsi="Times New Roman" w:cs="Times New Roman" w:eastAsia="Times New Roman"/>
          <w:sz w:val="20"/>
          <w:szCs w:val="20"/>
        </w:rPr>
        <w:t xml:space="preserve">Work packages and status</w:t>
      </w:r>
      <w:bookmarkEnd w:id="101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060"/>
        <w:gridCol w:w="4950"/>
        <w:gridCol w:w="3064"/>
      </w:tblGrid>
      <w:tr>
        <w:trPr>
          <w:cantSplit/>
          <w:tblHeader/>
        </w:trPr>
        <w:tc>
          <w:tcPr>
            <w:tcW w:w="10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Work package</w:t>
            </w:r>
          </w:p>
        </w:tc>
        <w:tc>
          <w:tcPr>
            <w:tcW w:w="495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Content</w:t>
            </w:r>
          </w:p>
        </w:tc>
        <w:tc>
          <w:tcPr>
            <w:tcW w:w="30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Status</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WP1</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Literature review and scope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WP2</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Platform study and OCEL 2.0 schema of the capstone lifecycle</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 (design only)</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WP3</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Re-scope to real data only; locate and download public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WP4</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CROP and OULAD to OCEL 2.0; profile all seven logs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WP5</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Distortion metrics and consequence analysis</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keepNext/>
              <w:spacing w:before="0" w:after="0" w:line="240" w:lineRule="auto"/>
              <w:jc w:val="left"/>
            </w:pPr>
            <w:r>
              <w:rPr>
                <w:rFonts w:ascii="Times New Roman" w:hAnsi="Times New Roman" w:cs="Times New Roman" w:eastAsia="Times New Roman"/>
                <w:sz w:val="20"/>
                <w:szCs w:val="20"/>
              </w:rPr>
              <w:t xml:space="preserve">WP6</w:t>
            </w:r>
          </w:p>
        </w:tc>
        <w:tc>
          <w:tcPr>
            <w:tcW w:w="4950" w:type="dxa"/>
            <w:vAlign w:val="center"/>
          </w:tcPr>
          <w:p>
            <w:pPr>
              <w:keepNext/>
              <w:spacing w:before="0" w:after="0" w:line="240" w:lineRule="auto"/>
              <w:jc w:val="left"/>
            </w:pPr>
            <w:r>
              <w:rPr>
                <w:rFonts w:ascii="Times New Roman" w:hAnsi="Times New Roman" w:cs="Times New Roman" w:eastAsia="Times New Roman"/>
                <w:sz w:val="20"/>
                <w:szCs w:val="20"/>
              </w:rPr>
              <w:t xml:space="preserve">Independent verification, report and presentation</w:t>
            </w:r>
          </w:p>
        </w:tc>
        <w:tc>
          <w:tcPr>
            <w:tcW w:w="3064" w:type="dxa"/>
            <w:vAlign w:val="center"/>
          </w:tcPr>
          <w:p>
            <w:pPr>
              <w:keepNext/>
              <w:spacing w:before="0" w:after="0" w:line="240" w:lineRule="auto"/>
              <w:jc w:val="left"/>
            </w:pPr>
            <w:r>
              <w:rPr>
                <w:rFonts w:ascii="Times New Roman" w:hAnsi="Times New Roman" w:cs="Times New Roman" w:eastAsia="Times New Roman"/>
                <w:sz w:val="20"/>
                <w:szCs w:val="20"/>
              </w:rPr>
              <w:t xml:space="preserve">Completed</w:t>
            </w:r>
          </w:p>
        </w:tc>
      </w:tr>
      <w:tr>
        <w:trPr>
          <w:cantSplit/>
        </w:trPr>
        <w:tc>
          <w:tcPr>
            <w:tcW w:w="1060" w:type="dxa"/>
            <w:vAlign w:val="center"/>
          </w:tcPr>
          <w:p>
            <w:pPr>
              <w:spacing w:before="0" w:after="0" w:line="240" w:lineRule="auto"/>
              <w:jc w:val="left"/>
            </w:pPr>
            <w:r>
              <w:rPr>
                <w:rFonts w:ascii="Times New Roman" w:hAnsi="Times New Roman" w:cs="Times New Roman" w:eastAsia="Times New Roman"/>
                <w:sz w:val="20"/>
                <w:szCs w:val="20"/>
              </w:rPr>
              <w:t xml:space="preserve">WP7</w:t>
            </w:r>
          </w:p>
        </w:tc>
        <w:tc>
          <w:tcPr>
            <w:tcW w:w="4950" w:type="dxa"/>
            <w:vAlign w:val="center"/>
          </w:tcPr>
          <w:p>
            <w:pPr>
              <w:spacing w:before="0" w:after="0" w:line="240" w:lineRule="auto"/>
              <w:jc w:val="left"/>
            </w:pPr>
            <w:r>
              <w:rPr>
                <w:rFonts w:ascii="Times New Roman" w:hAnsi="Times New Roman" w:cs="Times New Roman" w:eastAsia="Times New Roman"/>
                <w:sz w:val="20"/>
                <w:szCs w:val="20"/>
              </w:rPr>
              <w:t xml:space="preserve">Independent labelling of the findings; more logs; journal manuscript</w:t>
            </w:r>
          </w:p>
        </w:tc>
        <w:tc>
          <w:tcPr>
            <w:tcW w:w="3064" w:type="dxa"/>
            <w:vAlign w:val="center"/>
          </w:tcPr>
          <w:p>
            <w:pPr>
              <w:spacing w:before="0" w:after="0" w:line="240" w:lineRule="auto"/>
              <w:jc w:val="left"/>
            </w:pPr>
            <w:r>
              <w:rPr>
                <w:rFonts w:ascii="Times New Roman" w:hAnsi="Times New Roman" w:cs="Times New Roman" w:eastAsia="Times New Roman"/>
                <w:sz w:val="20"/>
                <w:szCs w:val="20"/>
              </w:rPr>
              <w:t xml:space="preserve">Planned. The manuscript is in preparation and has not been submitted</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3</w:t>
      </w:r>
    </w:p>
    <w:p>
      <w:pPr>
        <w:keepNext/>
        <w:spacing w:before="0" w:after="240" w:line="276" w:lineRule="auto"/>
        <w:jc w:val="center"/>
        <w:outlineLvl w:val="0"/>
      </w:pPr>
      <w:bookmarkStart w:id="1015" w:name="_Toc_ch3"/>
      <w:r>
        <w:rPr>
          <w:rFonts w:ascii="Times New Roman" w:hAnsi="Times New Roman" w:cs="Times New Roman" w:eastAsia="Times New Roman"/>
          <w:b/>
          <w:bCs/>
          <w:sz w:val="28"/>
          <w:szCs w:val="28"/>
        </w:rPr>
        <w:t xml:space="preserve">TECHNICAL SPECIFICATION</w:t>
      </w:r>
      <w:bookmarkEnd w:id="1015"/>
    </w:p>
    <w:p>
      <w:pPr>
        <w:keepNext/>
        <w:spacing w:before="200" w:after="100" w:line="276" w:lineRule="auto"/>
        <w:outlineLvl w:val="1"/>
      </w:pPr>
      <w:bookmarkStart w:id="1016" w:name="_Toc_3_1"/>
      <w:r>
        <w:rPr>
          <w:rFonts w:ascii="Times New Roman" w:hAnsi="Times New Roman" w:cs="Times New Roman" w:eastAsia="Times New Roman"/>
          <w:b/>
          <w:bCs/>
          <w:sz w:val="24"/>
          <w:szCs w:val="24"/>
        </w:rPr>
        <w:t xml:space="preserve">3.1  Requirements</w:t>
      </w:r>
      <w:bookmarkEnd w:id="1016"/>
    </w:p>
    <w:p>
      <w:pPr>
        <w:keepNext/>
        <w:spacing w:before="140" w:after="80" w:line="276" w:lineRule="auto"/>
        <w:outlineLvl w:val="2"/>
      </w:pPr>
      <w:bookmarkStart w:id="1017" w:name="_Toc_3_1_1"/>
      <w:r>
        <w:rPr>
          <w:rFonts w:ascii="Times New Roman" w:hAnsi="Times New Roman" w:cs="Times New Roman" w:eastAsia="Times New Roman"/>
          <w:b/>
          <w:bCs/>
          <w:i/>
          <w:iCs/>
          <w:sz w:val="24"/>
          <w:szCs w:val="24"/>
        </w:rPr>
        <w:t xml:space="preserve">3.1.1  Functional</w:t>
      </w:r>
      <w:bookmarkEnd w:id="1017"/>
    </w:p>
    <w:p>
      <w:pPr>
        <w:spacing w:before="0" w:after="120" w:line="276" w:lineRule="auto"/>
        <w:jc w:val="both"/>
      </w:pPr>
      <w:r>
        <w:rPr>
          <w:rFonts w:ascii="Times New Roman" w:hAnsi="Times New Roman" w:cs="Times New Roman" w:eastAsia="Times New Roman"/>
          <w:sz w:val="24"/>
          <w:szCs w:val="24"/>
        </w:rPr>
        <w:t xml:space="preserve">Table 3.1 lists the functional requirements and the module that covers each one. Chapter 5 describes the modules.</w:t>
      </w:r>
    </w:p>
    <w:p>
      <w:pPr>
        <w:keepNext/>
        <w:spacing w:before="160" w:after="80" w:line="240" w:lineRule="auto"/>
        <w:jc w:val="center"/>
      </w:pPr>
      <w:bookmarkStart w:id="1018" w:name="_Tab_3_1"/>
      <w:r>
        <w:rPr>
          <w:rFonts w:ascii="Times New Roman" w:hAnsi="Times New Roman" w:cs="Times New Roman" w:eastAsia="Times New Roman"/>
          <w:b/>
          <w:bCs/>
          <w:sz w:val="20"/>
          <w:szCs w:val="20"/>
        </w:rPr>
        <w:t xml:space="preserve">Table 3.1: </w:t>
      </w:r>
      <w:r>
        <w:rPr>
          <w:rFonts w:ascii="Times New Roman" w:hAnsi="Times New Roman" w:cs="Times New Roman" w:eastAsia="Times New Roman"/>
          <w:sz w:val="20"/>
          <w:szCs w:val="20"/>
        </w:rPr>
        <w:t xml:space="preserve">Functional requirements</w:t>
      </w:r>
      <w:bookmarkEnd w:id="101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77"/>
        <w:gridCol w:w="7260"/>
        <w:gridCol w:w="1037"/>
      </w:tblGrid>
      <w:tr>
        <w:trPr>
          <w:cantSplit/>
          <w:tblHeader/>
        </w:trPr>
        <w:tc>
          <w:tcPr>
            <w:tcW w:w="77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726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The system shall</w:t>
            </w:r>
          </w:p>
        </w:tc>
        <w:tc>
          <w:tcPr>
            <w:tcW w:w="103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Module</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FR1</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Download datasets from a manifest; check size and MD5 where the publisher provides them, and record a SHA-256 for every file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FR2</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Extract archives without trusting member paths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M1</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FR3</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Convert Gerrit code reviews (CROP) and OULAD into OCEL 2.0 SQLite</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FR4</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Load OCEL from SQLite, JSON, XML and bundled formats, with hashed identifiers for personal data</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M2</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FR5</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Compute flattening distortion for every object type of every log</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M3</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FR6</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Compare flat and object-centric outputs: rankings, edges, variants and entities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M4</w:t>
            </w:r>
          </w:p>
        </w:tc>
      </w:tr>
      <w:tr>
        <w:trPr>
          <w:cantSplit/>
        </w:trPr>
        <w:tc>
          <w:tcPr>
            <w:tcW w:w="777" w:type="dxa"/>
            <w:vAlign w:val="center"/>
          </w:tcPr>
          <w:p>
            <w:pPr>
              <w:keepNext/>
              <w:spacing w:before="0" w:after="0" w:line="240" w:lineRule="auto"/>
              <w:jc w:val="center"/>
            </w:pPr>
            <w:r>
              <w:rPr>
                <w:rFonts w:ascii="Times New Roman" w:hAnsi="Times New Roman" w:cs="Times New Roman" w:eastAsia="Times New Roman"/>
                <w:sz w:val="20"/>
                <w:szCs w:val="20"/>
              </w:rPr>
              <w:t xml:space="preserve">FR7</w:t>
            </w:r>
          </w:p>
        </w:tc>
        <w:tc>
          <w:tcPr>
            <w:tcW w:w="7260" w:type="dxa"/>
            <w:vAlign w:val="center"/>
          </w:tcPr>
          <w:p>
            <w:pPr>
              <w:keepNext/>
              <w:spacing w:before="0" w:after="0" w:line="240" w:lineRule="auto"/>
              <w:jc w:val="left"/>
            </w:pPr>
            <w:r>
              <w:rPr>
                <w:rFonts w:ascii="Times New Roman" w:hAnsi="Times New Roman" w:cs="Times New Roman" w:eastAsia="Times New Roman"/>
                <w:sz w:val="20"/>
                <w:szCs w:val="20"/>
              </w:rPr>
              <w:t xml:space="preserve">Validate results with independent implementations</w:t>
            </w:r>
          </w:p>
        </w:tc>
        <w:tc>
          <w:tcPr>
            <w:tcW w:w="1037" w:type="dxa"/>
            <w:vAlign w:val="center"/>
          </w:tcPr>
          <w:p>
            <w:pPr>
              <w:keepNext/>
              <w:spacing w:before="0" w:after="0" w:line="240" w:lineRule="auto"/>
              <w:jc w:val="center"/>
            </w:pPr>
            <w:r>
              <w:rPr>
                <w:rFonts w:ascii="Times New Roman" w:hAnsi="Times New Roman" w:cs="Times New Roman" w:eastAsia="Times New Roman"/>
                <w:sz w:val="20"/>
                <w:szCs w:val="20"/>
              </w:rPr>
              <w:t xml:space="preserve">M6</w:t>
            </w:r>
          </w:p>
        </w:tc>
      </w:tr>
      <w:tr>
        <w:trPr>
          <w:cantSplit/>
        </w:trPr>
        <w:tc>
          <w:tcPr>
            <w:tcW w:w="777" w:type="dxa"/>
            <w:vAlign w:val="center"/>
          </w:tcPr>
          <w:p>
            <w:pPr>
              <w:spacing w:before="0" w:after="0" w:line="240" w:lineRule="auto"/>
              <w:jc w:val="center"/>
            </w:pPr>
            <w:r>
              <w:rPr>
                <w:rFonts w:ascii="Times New Roman" w:hAnsi="Times New Roman" w:cs="Times New Roman" w:eastAsia="Times New Roman"/>
                <w:sz w:val="20"/>
                <w:szCs w:val="20"/>
              </w:rPr>
              <w:t xml:space="preserve">FR8</w:t>
            </w:r>
          </w:p>
        </w:tc>
        <w:tc>
          <w:tcPr>
            <w:tcW w:w="7260" w:type="dxa"/>
            <w:vAlign w:val="center"/>
          </w:tcPr>
          <w:p>
            <w:pPr>
              <w:spacing w:before="0" w:after="0" w:line="240" w:lineRule="auto"/>
              <w:jc w:val="left"/>
            </w:pPr>
            <w:r>
              <w:rPr>
                <w:rFonts w:ascii="Times New Roman" w:hAnsi="Times New Roman" w:cs="Times New Roman" w:eastAsia="Times New Roman"/>
                <w:sz w:val="20"/>
                <w:szCs w:val="20"/>
              </w:rPr>
              <w:t xml:space="preserve">Export CSV, JSON and Markdown tables; re-run the whole study with one command</w:t>
            </w:r>
          </w:p>
        </w:tc>
        <w:tc>
          <w:tcPr>
            <w:tcW w:w="1037" w:type="dxa"/>
            <w:vAlign w:val="center"/>
          </w:tcPr>
          <w:p>
            <w:pPr>
              <w:spacing w:before="0" w:after="0" w:line="240" w:lineRule="auto"/>
              <w:jc w:val="center"/>
            </w:pPr>
            <w:r>
              <w:rPr>
                <w:rFonts w:ascii="Times New Roman" w:hAnsi="Times New Roman" w:cs="Times New Roman" w:eastAsia="Times New Roman"/>
                <w:sz w:val="20"/>
                <w:szCs w:val="20"/>
              </w:rPr>
              <w:t xml:space="preserve">M7</w:t>
            </w:r>
          </w:p>
        </w:tc>
      </w:tr>
    </w:tbl>
    <w:p>
      <w:pPr>
        <w:spacing w:before="0" w:after="120" w:line="240" w:lineRule="auto"/>
      </w:pPr>
    </w:p>
    <w:p>
      <w:pPr>
        <w:keepNext/>
        <w:spacing w:before="140" w:after="80" w:line="276" w:lineRule="auto"/>
        <w:outlineLvl w:val="2"/>
      </w:pPr>
      <w:bookmarkStart w:id="1019" w:name="_Toc_3_1_2"/>
      <w:r>
        <w:rPr>
          <w:rFonts w:ascii="Times New Roman" w:hAnsi="Times New Roman" w:cs="Times New Roman" w:eastAsia="Times New Roman"/>
          <w:b/>
          <w:bCs/>
          <w:i/>
          <w:iCs/>
          <w:sz w:val="24"/>
          <w:szCs w:val="24"/>
        </w:rPr>
        <w:t xml:space="preserve">3.1.2  Non-Functional</w:t>
      </w:r>
      <w:bookmarkEnd w:id="1019"/>
    </w:p>
    <w:p>
      <w:pPr>
        <w:keepNext/>
        <w:spacing w:before="160" w:after="80" w:line="240" w:lineRule="auto"/>
        <w:jc w:val="center"/>
      </w:pPr>
      <w:bookmarkStart w:id="1020" w:name="_Tab_3_2"/>
      <w:r>
        <w:rPr>
          <w:rFonts w:ascii="Times New Roman" w:hAnsi="Times New Roman" w:cs="Times New Roman" w:eastAsia="Times New Roman"/>
          <w:b/>
          <w:bCs/>
          <w:sz w:val="20"/>
          <w:szCs w:val="20"/>
        </w:rPr>
        <w:t xml:space="preserve">Table 3.2: </w:t>
      </w:r>
      <w:r>
        <w:rPr>
          <w:rFonts w:ascii="Times New Roman" w:hAnsi="Times New Roman" w:cs="Times New Roman" w:eastAsia="Times New Roman"/>
          <w:sz w:val="20"/>
          <w:szCs w:val="20"/>
        </w:rPr>
        <w:t xml:space="preserve">Non-functional requirements</w:t>
      </w:r>
      <w:bookmarkEnd w:id="102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07"/>
        <w:gridCol w:w="3889"/>
        <w:gridCol w:w="4278"/>
      </w:tblGrid>
      <w:tr>
        <w:trPr>
          <w:cantSplit/>
          <w:tblHeader/>
        </w:trPr>
        <w:tc>
          <w:tcPr>
            <w:tcW w:w="9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ID</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Requirement</w:t>
            </w:r>
          </w:p>
        </w:tc>
        <w:tc>
          <w:tcPr>
            <w:tcW w:w="42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How we meet or check it</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Reproducibility: the same input gives the same bytes</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Tracked result files were byte-identical after a re-run</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Privacy: personal identifiers are not published</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E-mail addresses and names are hashed on load; no VIT student data is used</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Resource limit: runs on an ordinary laptop</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Developed on an 8 GiB machine; the Ethereum log is analysed as a 300,000-event window</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NFR4</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Licensing: only openly licensed data</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All seven logs are CC BY 4.0; the licence is recorded per source</w:t>
            </w:r>
          </w:p>
        </w:tc>
      </w:tr>
      <w:tr>
        <w:trPr>
          <w:cantSplit/>
        </w:trPr>
        <w:tc>
          <w:tcPr>
            <w:tcW w:w="907" w:type="dxa"/>
            <w:vAlign w:val="center"/>
          </w:tcPr>
          <w:p>
            <w:pPr>
              <w:keepNext/>
              <w:spacing w:before="0" w:after="0" w:line="240" w:lineRule="auto"/>
              <w:jc w:val="left"/>
            </w:pPr>
            <w:r>
              <w:rPr>
                <w:rFonts w:ascii="Times New Roman" w:hAnsi="Times New Roman" w:cs="Times New Roman" w:eastAsia="Times New Roman"/>
                <w:sz w:val="20"/>
                <w:szCs w:val="20"/>
              </w:rPr>
              <w:t xml:space="preserve">NFR5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Integrity and safety of data handling</w:t>
            </w:r>
          </w:p>
        </w:tc>
        <w:tc>
          <w:tcPr>
            <w:tcW w:w="4278" w:type="dxa"/>
            <w:vAlign w:val="center"/>
          </w:tcPr>
          <w:p>
            <w:pPr>
              <w:keepNext/>
              <w:spacing w:before="0" w:after="0" w:line="240" w:lineRule="auto"/>
              <w:jc w:val="left"/>
            </w:pPr>
            <w:r>
              <w:rPr>
                <w:rFonts w:ascii="Times New Roman" w:hAnsi="Times New Roman" w:cs="Times New Roman" w:eastAsia="Times New Roman"/>
                <w:sz w:val="20"/>
                <w:szCs w:val="20"/>
              </w:rPr>
              <w:t xml:space="preserve">Size and MD5 checked against the Zenodo record; SHA-256 recorded for all files; archives with unsafe member paths rejected</w:t>
            </w:r>
          </w:p>
        </w:tc>
      </w:tr>
      <w:tr>
        <w:trPr>
          <w:cantSplit/>
        </w:trPr>
        <w:tc>
          <w:tcPr>
            <w:tcW w:w="907" w:type="dxa"/>
            <w:vAlign w:val="center"/>
          </w:tcPr>
          <w:p>
            <w:pPr>
              <w:spacing w:before="0" w:after="0" w:line="240" w:lineRule="auto"/>
              <w:jc w:val="left"/>
            </w:pPr>
            <w:r>
              <w:rPr>
                <w:rFonts w:ascii="Times New Roman" w:hAnsi="Times New Roman" w:cs="Times New Roman" w:eastAsia="Times New Roman"/>
                <w:sz w:val="20"/>
                <w:szCs w:val="20"/>
              </w:rPr>
              <w:t xml:space="preserve">NFR6</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Transparency of limits</w:t>
            </w:r>
          </w:p>
        </w:tc>
        <w:tc>
          <w:tcPr>
            <w:tcW w:w="4278" w:type="dxa"/>
            <w:vAlign w:val="center"/>
          </w:tcPr>
          <w:p>
            <w:pPr>
              <w:spacing w:before="0" w:after="0" w:line="240" w:lineRule="auto"/>
              <w:jc w:val="left"/>
            </w:pPr>
            <w:r>
              <w:rPr>
                <w:rFonts w:ascii="Times New Roman" w:hAnsi="Times New Roman" w:cs="Times New Roman" w:eastAsia="Times New Roman"/>
                <w:sz w:val="20"/>
                <w:szCs w:val="20"/>
              </w:rPr>
              <w:t xml:space="preserve">Every result table states what was and was not checked</w:t>
            </w:r>
          </w:p>
        </w:tc>
      </w:tr>
    </w:tbl>
    <w:p>
      <w:pPr>
        <w:spacing w:before="0" w:after="120" w:line="240" w:lineRule="auto"/>
      </w:pPr>
    </w:p>
    <w:p>
      <w:pPr>
        <w:keepNext/>
        <w:spacing w:before="200" w:after="100" w:line="276" w:lineRule="auto"/>
        <w:outlineLvl w:val="1"/>
      </w:pPr>
      <w:bookmarkStart w:id="1021" w:name="_Toc_3_2"/>
      <w:r>
        <w:rPr>
          <w:rFonts w:ascii="Times New Roman" w:hAnsi="Times New Roman" w:cs="Times New Roman" w:eastAsia="Times New Roman"/>
          <w:b/>
          <w:bCs/>
          <w:sz w:val="24"/>
          <w:szCs w:val="24"/>
        </w:rPr>
        <w:t xml:space="preserve">3.2  Feasibility Study</w:t>
      </w:r>
      <w:bookmarkEnd w:id="1021"/>
    </w:p>
    <w:p>
      <w:pPr>
        <w:keepNext/>
        <w:spacing w:before="140" w:after="80" w:line="276" w:lineRule="auto"/>
        <w:outlineLvl w:val="2"/>
      </w:pPr>
      <w:bookmarkStart w:id="1022" w:name="_Toc_3_2_1"/>
      <w:r>
        <w:rPr>
          <w:rFonts w:ascii="Times New Roman" w:hAnsi="Times New Roman" w:cs="Times New Roman" w:eastAsia="Times New Roman"/>
          <w:b/>
          <w:bCs/>
          <w:i/>
          <w:iCs/>
          <w:sz w:val="24"/>
          <w:szCs w:val="24"/>
        </w:rPr>
        <w:t xml:space="preserve">3.2.1  Technical Feasibility</w:t>
      </w:r>
      <w:bookmarkEnd w:id="1022"/>
    </w:p>
    <w:p>
      <w:pPr>
        <w:spacing w:before="0" w:after="120" w:line="276" w:lineRule="auto"/>
        <w:jc w:val="both"/>
      </w:pPr>
      <w:r>
        <w:rPr>
          <w:rFonts w:ascii="Times New Roman" w:hAnsi="Times New Roman" w:cs="Times New Roman" w:eastAsia="Times New Roman"/>
          <w:sz w:val="24"/>
          <w:szCs w:val="24"/>
        </w:rPr>
        <w:t xml:space="preserve">Everything is Python with open libraries, and it runs on one laptop. The one real squeeze was Ethereum. Its 3.2 million events don't fit in 8 GiB of memory, so we analyse a contiguous window of 300,000 events and say so wherever that log appears. For Enron, the distortion analysis took about 9.5 seconds and the consequence analysis about 4. Speed was never the risk. Getting the numbers right was, which is why Chapter 5 spends most of its space on verification.</w:t>
      </w:r>
    </w:p>
    <w:p>
      <w:pPr>
        <w:keepNext/>
        <w:spacing w:before="140" w:after="80" w:line="276" w:lineRule="auto"/>
        <w:outlineLvl w:val="2"/>
      </w:pPr>
      <w:bookmarkStart w:id="1023" w:name="_Toc_3_2_2"/>
      <w:r>
        <w:rPr>
          <w:rFonts w:ascii="Times New Roman" w:hAnsi="Times New Roman" w:cs="Times New Roman" w:eastAsia="Times New Roman"/>
          <w:b/>
          <w:bCs/>
          <w:i/>
          <w:iCs/>
          <w:sz w:val="24"/>
          <w:szCs w:val="24"/>
        </w:rPr>
        <w:t xml:space="preserve">3.2.2  Economic Feasibility</w:t>
      </w:r>
      <w:bookmarkEnd w:id="1023"/>
    </w:p>
    <w:p>
      <w:pPr>
        <w:spacing w:before="0" w:after="120" w:line="276" w:lineRule="auto"/>
        <w:jc w:val="both"/>
      </w:pPr>
      <w:r>
        <w:rPr>
          <w:rFonts w:ascii="Times New Roman" w:hAnsi="Times New Roman" w:cs="Times New Roman" w:eastAsia="Times New Roman"/>
          <w:sz w:val="24"/>
          <w:szCs w:val="24"/>
        </w:rPr>
        <w:t xml:space="preserve">We bought nothing: no data, no software, no cloud time. Table 3.3 lists the items. The only cost we can't put a number on is our own time.</w:t>
      </w:r>
    </w:p>
    <w:p>
      <w:pPr>
        <w:keepNext/>
        <w:spacing w:before="160" w:after="80" w:line="240" w:lineRule="auto"/>
        <w:jc w:val="center"/>
      </w:pPr>
      <w:bookmarkStart w:id="1024" w:name="_Tab_3_3"/>
      <w:r>
        <w:rPr>
          <w:rFonts w:ascii="Times New Roman" w:hAnsi="Times New Roman" w:cs="Times New Roman" w:eastAsia="Times New Roman"/>
          <w:b/>
          <w:bCs/>
          <w:sz w:val="20"/>
          <w:szCs w:val="20"/>
        </w:rPr>
        <w:t xml:space="preserve">Table 3.3: </w:t>
      </w:r>
      <w:r>
        <w:rPr>
          <w:rFonts w:ascii="Times New Roman" w:hAnsi="Times New Roman" w:cs="Times New Roman" w:eastAsia="Times New Roman"/>
          <w:sz w:val="20"/>
          <w:szCs w:val="20"/>
        </w:rPr>
        <w:t xml:space="preserve">Cost items</w:t>
      </w:r>
      <w:bookmarkEnd w:id="1024"/>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4407"/>
        <w:gridCol w:w="1815"/>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440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Source</w:t>
            </w:r>
          </w:p>
        </w:tc>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Incremental cost</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Datasets (seven logs)</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Zenodo and UCI repositories, CC BY 4.0</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Analysis software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Python and open-source libraries (see Section 3.3.2)</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Hardware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 laptop the team already owned</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Storage</w:t>
            </w:r>
          </w:p>
        </w:tc>
        <w:tc>
          <w:tcPr>
            <w:tcW w:w="4407" w:type="dxa"/>
            <w:vAlign w:val="center"/>
          </w:tcPr>
          <w:p>
            <w:pPr>
              <w:keepNext/>
              <w:spacing w:before="0" w:after="0" w:line="240" w:lineRule="auto"/>
              <w:jc w:val="left"/>
            </w:pPr>
            <w:r>
              <w:rPr>
                <w:rFonts w:ascii="Times New Roman" w:hAnsi="Times New Roman" w:cs="Times New Roman" w:eastAsia="Times New Roman"/>
                <w:sz w:val="20"/>
                <w:szCs w:val="20"/>
              </w:rPr>
              <w:t xml:space="preserve">About 1.3 GB of downloaded and extracted files and 132 MB of derived OCEL files</w:t>
            </w:r>
          </w:p>
        </w:tc>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Nil</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Cloud or paid services</w:t>
            </w:r>
          </w:p>
        </w:tc>
        <w:tc>
          <w:tcPr>
            <w:tcW w:w="4407" w:type="dxa"/>
            <w:vAlign w:val="center"/>
          </w:tcPr>
          <w:p>
            <w:pPr>
              <w:spacing w:before="0" w:after="0" w:line="240" w:lineRule="auto"/>
              <w:jc w:val="left"/>
            </w:pPr>
            <w:r>
              <w:rPr>
                <w:rFonts w:ascii="Times New Roman" w:hAnsi="Times New Roman" w:cs="Times New Roman" w:eastAsia="Times New Roman"/>
                <w:sz w:val="20"/>
                <w:szCs w:val="20"/>
              </w:rPr>
              <w:t xml:space="preserve">None used</w:t>
            </w:r>
          </w:p>
        </w:tc>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Nil</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One licence catch. The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library is released under AGPL-3.0, and we use it as a reference implementation of flattening. If we release the code, we either pick a compatible licence or swap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for a small SQLite loader.</w:t>
      </w:r>
    </w:p>
    <w:p>
      <w:pPr>
        <w:keepNext/>
        <w:spacing w:before="140" w:after="80" w:line="276" w:lineRule="auto"/>
        <w:outlineLvl w:val="2"/>
      </w:pPr>
      <w:bookmarkStart w:id="1025" w:name="_Toc_3_2_3"/>
      <w:r>
        <w:rPr>
          <w:rFonts w:ascii="Times New Roman" w:hAnsi="Times New Roman" w:cs="Times New Roman" w:eastAsia="Times New Roman"/>
          <w:b/>
          <w:bCs/>
          <w:i/>
          <w:iCs/>
          <w:sz w:val="24"/>
          <w:szCs w:val="24"/>
        </w:rPr>
        <w:t xml:space="preserve">3.2.3  Social Feasibility</w:t>
      </w:r>
      <w:bookmarkEnd w:id="1025"/>
    </w:p>
    <w:p>
      <w:pPr>
        <w:spacing w:before="0" w:after="120" w:line="276" w:lineRule="auto"/>
        <w:jc w:val="both"/>
      </w:pPr>
      <w:r>
        <w:rPr>
          <w:rFonts w:ascii="Times New Roman" w:hAnsi="Times New Roman" w:cs="Times New Roman" w:eastAsia="Times New Roman"/>
          <w:sz w:val="24"/>
          <w:szCs w:val="24"/>
        </w:rPr>
        <w:t xml:space="preserve">Two logs contain data about people. Enron has real e-mail addresses, and CROP has developer names that its authors had already pseudonymised. We hash identifiers again when a log loads and never print raw values. No VIT student, guide or portal record was used. Anyone who analyses multi-entity workflows, academic review included, can see beforehand what a flat view will hide.</w:t>
      </w:r>
    </w:p>
    <w:p>
      <w:pPr>
        <w:keepNext/>
        <w:spacing w:before="200" w:after="100" w:line="276" w:lineRule="auto"/>
        <w:outlineLvl w:val="1"/>
      </w:pPr>
      <w:bookmarkStart w:id="1026" w:name="_Toc_3_3"/>
      <w:r>
        <w:rPr>
          <w:rFonts w:ascii="Times New Roman" w:hAnsi="Times New Roman" w:cs="Times New Roman" w:eastAsia="Times New Roman"/>
          <w:b/>
          <w:bCs/>
          <w:sz w:val="24"/>
          <w:szCs w:val="24"/>
        </w:rPr>
        <w:t xml:space="preserve">3.3  System Specification</w:t>
      </w:r>
      <w:bookmarkEnd w:id="1026"/>
    </w:p>
    <w:p>
      <w:pPr>
        <w:keepNext/>
        <w:spacing w:before="140" w:after="80" w:line="276" w:lineRule="auto"/>
        <w:outlineLvl w:val="2"/>
      </w:pPr>
      <w:bookmarkStart w:id="1027" w:name="_Toc_3_3_1"/>
      <w:r>
        <w:rPr>
          <w:rFonts w:ascii="Times New Roman" w:hAnsi="Times New Roman" w:cs="Times New Roman" w:eastAsia="Times New Roman"/>
          <w:b/>
          <w:bCs/>
          <w:i/>
          <w:iCs/>
          <w:sz w:val="24"/>
          <w:szCs w:val="24"/>
        </w:rPr>
        <w:t xml:space="preserve">3.3.1  Hardware Specification</w:t>
      </w:r>
      <w:bookmarkEnd w:id="1027"/>
    </w:p>
    <w:p>
      <w:pPr>
        <w:keepNext/>
        <w:spacing w:before="160" w:after="80" w:line="240" w:lineRule="auto"/>
        <w:jc w:val="center"/>
      </w:pPr>
      <w:bookmarkStart w:id="1028" w:name="_Tab_3_4"/>
      <w:r>
        <w:rPr>
          <w:rFonts w:ascii="Times New Roman" w:hAnsi="Times New Roman" w:cs="Times New Roman" w:eastAsia="Times New Roman"/>
          <w:b/>
          <w:bCs/>
          <w:sz w:val="20"/>
          <w:szCs w:val="20"/>
        </w:rPr>
        <w:t xml:space="preserve">Table 3.4: </w:t>
      </w:r>
      <w:r>
        <w:rPr>
          <w:rFonts w:ascii="Times New Roman" w:hAnsi="Times New Roman" w:cs="Times New Roman" w:eastAsia="Times New Roman"/>
          <w:sz w:val="20"/>
          <w:szCs w:val="20"/>
        </w:rPr>
        <w:t xml:space="preserve">Hardware used</w:t>
      </w:r>
      <w:bookmarkEnd w:id="1028"/>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94"/>
        <w:gridCol w:w="6980"/>
      </w:tblGrid>
      <w:tr>
        <w:trPr>
          <w:cantSplit/>
          <w:tblHeader/>
        </w:trPr>
        <w:tc>
          <w:tcPr>
            <w:tcW w:w="20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Item</w:t>
            </w:r>
          </w:p>
        </w:tc>
        <w:tc>
          <w:tcPr>
            <w:tcW w:w="698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Specification</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Machine</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Apple silicon laptop (arm64)</w:t>
            </w:r>
          </w:p>
        </w:tc>
      </w:tr>
      <w:tr>
        <w:trPr>
          <w:cantSplit/>
        </w:trPr>
        <w:tc>
          <w:tcPr>
            <w:tcW w:w="2094" w:type="dxa"/>
            <w:vAlign w:val="center"/>
          </w:tcPr>
          <w:p>
            <w:pPr>
              <w:keepNext/>
              <w:spacing w:before="0" w:after="0" w:line="240" w:lineRule="auto"/>
              <w:jc w:val="left"/>
            </w:pPr>
            <w:r>
              <w:rPr>
                <w:rFonts w:ascii="Times New Roman" w:hAnsi="Times New Roman" w:cs="Times New Roman" w:eastAsia="Times New Roman"/>
                <w:sz w:val="20"/>
                <w:szCs w:val="20"/>
              </w:rPr>
              <w:t xml:space="preserve">Memory</w:t>
            </w:r>
          </w:p>
        </w:tc>
        <w:tc>
          <w:tcPr>
            <w:tcW w:w="6980" w:type="dxa"/>
            <w:vAlign w:val="center"/>
          </w:tcPr>
          <w:p>
            <w:pPr>
              <w:keepNext/>
              <w:spacing w:before="0" w:after="0" w:line="240" w:lineRule="auto"/>
              <w:jc w:val="left"/>
            </w:pPr>
            <w:r>
              <w:rPr>
                <w:rFonts w:ascii="Times New Roman" w:hAnsi="Times New Roman" w:cs="Times New Roman" w:eastAsia="Times New Roman"/>
                <w:sz w:val="20"/>
                <w:szCs w:val="20"/>
              </w:rPr>
              <w:t xml:space="preserve">8 GiB</w:t>
            </w:r>
          </w:p>
        </w:tc>
      </w:tr>
      <w:tr>
        <w:trPr>
          <w:cantSplit/>
        </w:trPr>
        <w:tc>
          <w:tcPr>
            <w:tcW w:w="2094" w:type="dxa"/>
            <w:vAlign w:val="center"/>
          </w:tcPr>
          <w:p>
            <w:pPr>
              <w:spacing w:before="0" w:after="0" w:line="240" w:lineRule="auto"/>
              <w:jc w:val="left"/>
            </w:pPr>
            <w:r>
              <w:rPr>
                <w:rFonts w:ascii="Times New Roman" w:hAnsi="Times New Roman" w:cs="Times New Roman" w:eastAsia="Times New Roman"/>
                <w:sz w:val="20"/>
                <w:szCs w:val="20"/>
              </w:rPr>
              <w:t xml:space="preserve">Storage used</w:t>
            </w:r>
          </w:p>
        </w:tc>
        <w:tc>
          <w:tcPr>
            <w:tcW w:w="6980" w:type="dxa"/>
            <w:vAlign w:val="center"/>
          </w:tcPr>
          <w:p>
            <w:pPr>
              <w:spacing w:before="0" w:after="0" w:line="240" w:lineRule="auto"/>
              <w:jc w:val="left"/>
            </w:pPr>
            <w:r>
              <w:rPr>
                <w:rFonts w:ascii="Times New Roman" w:hAnsi="Times New Roman" w:cs="Times New Roman" w:eastAsia="Times New Roman"/>
                <w:sz w:val="20"/>
                <w:szCs w:val="20"/>
              </w:rPr>
              <w:t xml:space="preserve">1.3 GB raw (downloaded and extracted), 132 MB derived OCEL files; the one-time download is about 350 MB</w:t>
            </w:r>
          </w:p>
        </w:tc>
      </w:tr>
    </w:tbl>
    <w:p>
      <w:pPr>
        <w:spacing w:before="0" w:after="120" w:line="240" w:lineRule="auto"/>
      </w:pPr>
    </w:p>
    <w:p>
      <w:pPr>
        <w:keepNext/>
        <w:spacing w:before="140" w:after="80" w:line="276" w:lineRule="auto"/>
        <w:outlineLvl w:val="2"/>
      </w:pPr>
      <w:bookmarkStart w:id="1029" w:name="_Toc_3_3_2"/>
      <w:r>
        <w:rPr>
          <w:rFonts w:ascii="Times New Roman" w:hAnsi="Times New Roman" w:cs="Times New Roman" w:eastAsia="Times New Roman"/>
          <w:b/>
          <w:bCs/>
          <w:i/>
          <w:iCs/>
          <w:sz w:val="24"/>
          <w:szCs w:val="24"/>
        </w:rPr>
        <w:t xml:space="preserve">3.3.2  Software Specification</w:t>
      </w:r>
      <w:bookmarkEnd w:id="1029"/>
    </w:p>
    <w:p>
      <w:pPr>
        <w:keepNext/>
        <w:spacing w:before="160" w:after="80" w:line="240" w:lineRule="auto"/>
        <w:jc w:val="center"/>
      </w:pPr>
      <w:bookmarkStart w:id="1030" w:name="_Tab_3_5"/>
      <w:r>
        <w:rPr>
          <w:rFonts w:ascii="Times New Roman" w:hAnsi="Times New Roman" w:cs="Times New Roman" w:eastAsia="Times New Roman"/>
          <w:b/>
          <w:bCs/>
          <w:sz w:val="20"/>
          <w:szCs w:val="20"/>
        </w:rPr>
        <w:t xml:space="preserve">Table 3.5: </w:t>
      </w:r>
      <w:r>
        <w:rPr>
          <w:rFonts w:ascii="Times New Roman" w:hAnsi="Times New Roman" w:cs="Times New Roman" w:eastAsia="Times New Roman"/>
          <w:sz w:val="20"/>
          <w:szCs w:val="20"/>
        </w:rPr>
        <w:t xml:space="preserve">Software used</w:t>
      </w:r>
      <w:bookmarkEnd w:id="103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52"/>
        <w:gridCol w:w="2333"/>
        <w:gridCol w:w="3889"/>
      </w:tblGrid>
      <w:tr>
        <w:trPr>
          <w:cantSplit/>
          <w:tblHeader/>
        </w:trPr>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Component</w:t>
            </w:r>
          </w:p>
        </w:tc>
        <w:tc>
          <w:tcPr>
            <w:tcW w:w="233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Version</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Use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Python</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3.14.5</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All analysis code</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pandas, NumPy, SciPy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3.1.0, 2.5.4, 1.18.1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Tables, vectorised metrics, Spearman correlation</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lxml</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6.1.3</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XML OCEL loading</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pm4py</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2.7.23.11</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Reference flattening implementation (AGPL-3.0)</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DuckDB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2.0.0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Reads the parquet OCEL bundles (Enron, Ethereum) without extra libraries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Matplotlib</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3.11.2</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Figures</w:t>
            </w:r>
          </w:p>
        </w:tc>
      </w:tr>
      <w:tr>
        <w:trPr>
          <w:cantSplit/>
        </w:trPr>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SQLite</w:t>
            </w:r>
          </w:p>
        </w:tc>
        <w:tc>
          <w:tcPr>
            <w:tcW w:w="2333" w:type="dxa"/>
            <w:vAlign w:val="center"/>
          </w:tcPr>
          <w:p>
            <w:pPr>
              <w:keepNext/>
              <w:spacing w:before="0" w:after="0" w:line="240" w:lineRule="auto"/>
              <w:jc w:val="left"/>
            </w:pPr>
            <w:r>
              <w:rPr>
                <w:rFonts w:ascii="Times New Roman" w:hAnsi="Times New Roman" w:cs="Times New Roman" w:eastAsia="Times New Roman"/>
                <w:sz w:val="20"/>
                <w:szCs w:val="20"/>
              </w:rPr>
              <w:t xml:space="preserve">3.54.0</w:t>
            </w:r>
          </w:p>
        </w:tc>
        <w:tc>
          <w:tcPr>
            <w:tcW w:w="3889" w:type="dxa"/>
            <w:vAlign w:val="center"/>
          </w:tcPr>
          <w:p>
            <w:pPr>
              <w:keepNext/>
              <w:spacing w:before="0" w:after="0" w:line="240" w:lineRule="auto"/>
              <w:jc w:val="left"/>
            </w:pPr>
            <w:r>
              <w:rPr>
                <w:rFonts w:ascii="Times New Roman" w:hAnsi="Times New Roman" w:cs="Times New Roman" w:eastAsia="Times New Roman"/>
                <w:sz w:val="20"/>
                <w:szCs w:val="20"/>
              </w:rPr>
              <w:t xml:space="preserve">OCEL 2.0 storage and the independent SQL cross-check</w:t>
            </w:r>
          </w:p>
        </w:tc>
      </w:tr>
      <w:tr>
        <w:trPr>
          <w:cantSplit/>
        </w:trPr>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macOS, Git, Make</w:t>
            </w:r>
          </w:p>
        </w:tc>
        <w:tc>
          <w:tcPr>
            <w:tcW w:w="2333" w:type="dxa"/>
            <w:vAlign w:val="center"/>
          </w:tcPr>
          <w:p>
            <w:pPr>
              <w:spacing w:before="0" w:after="0" w:line="240" w:lineRule="auto"/>
              <w:jc w:val="left"/>
            </w:pPr>
            <w:r>
              <w:rPr>
                <w:rFonts w:ascii="Times New Roman" w:hAnsi="Times New Roman" w:cs="Times New Roman" w:eastAsia="Times New Roman"/>
                <w:sz w:val="20"/>
                <w:szCs w:val="20"/>
              </w:rPr>
              <w:t xml:space="preserve">-</w:t>
            </w:r>
          </w:p>
        </w:tc>
        <w:tc>
          <w:tcPr>
            <w:tcW w:w="3889" w:type="dxa"/>
            <w:vAlign w:val="center"/>
          </w:tcPr>
          <w:p>
            <w:pPr>
              <w:spacing w:before="0" w:after="0" w:line="240" w:lineRule="auto"/>
              <w:jc w:val="left"/>
            </w:pPr>
            <w:r>
              <w:rPr>
                <w:rFonts w:ascii="Times New Roman" w:hAnsi="Times New Roman" w:cs="Times New Roman" w:eastAsia="Times New Roman"/>
                <w:sz w:val="20"/>
                <w:szCs w:val="20"/>
              </w:rPr>
              <w:t xml:space="preserve">Operating system, version control, one-command re-run</w:t>
            </w:r>
          </w:p>
        </w:tc>
      </w:tr>
    </w:tbl>
    <w:p>
      <w:pPr>
        <w:spacing w:before="0" w:after="120" w:line="240" w:lineRule="auto"/>
      </w:pPr>
    </w:p>
    <w:p>
      <w:pPr>
        <w:keepNext/>
        <w:pageBreakBefore/>
        <w:spacing w:before="0" w:after="60" w:line="276" w:lineRule="auto"/>
        <w:jc w:val="center"/>
      </w:pPr>
      <w:r>
        <w:rPr>
          <w:rFonts w:ascii="Times New Roman" w:hAnsi="Times New Roman" w:cs="Times New Roman" w:eastAsia="Times New Roman"/>
          <w:b/>
          <w:bCs/>
          <w:sz w:val="28"/>
          <w:szCs w:val="28"/>
        </w:rPr>
        <w:t xml:space="preserve">CHAPTER 4</w:t>
      </w:r>
    </w:p>
    <w:p>
      <w:pPr>
        <w:keepNext/>
        <w:spacing w:before="0" w:after="240" w:line="276" w:lineRule="auto"/>
        <w:jc w:val="center"/>
        <w:outlineLvl w:val="0"/>
      </w:pPr>
      <w:bookmarkStart w:id="1031" w:name="_Toc_ch4"/>
      <w:r>
        <w:rPr>
          <w:rFonts w:ascii="Times New Roman" w:hAnsi="Times New Roman" w:cs="Times New Roman" w:eastAsia="Times New Roman"/>
          <w:b/>
          <w:bCs/>
          <w:sz w:val="28"/>
          <w:szCs w:val="28"/>
        </w:rPr>
        <w:t xml:space="preserve">DESIGN APPROACH AND DETAILS</w:t>
      </w:r>
      <w:bookmarkEnd w:id="1031"/>
    </w:p>
    <w:p>
      <w:pPr>
        <w:keepNext/>
        <w:spacing w:before="200" w:after="100" w:line="276" w:lineRule="auto"/>
        <w:outlineLvl w:val="1"/>
      </w:pPr>
      <w:bookmarkStart w:id="1032" w:name="_Toc_4_1"/>
      <w:r>
        <w:rPr>
          <w:rFonts w:ascii="Times New Roman" w:hAnsi="Times New Roman" w:cs="Times New Roman" w:eastAsia="Times New Roman"/>
          <w:b/>
          <w:bCs/>
          <w:sz w:val="24"/>
          <w:szCs w:val="24"/>
        </w:rPr>
        <w:t xml:space="preserve">4.1  System Architecture</w:t>
      </w:r>
      <w:bookmarkEnd w:id="1032"/>
    </w:p>
    <w:p>
      <w:pPr>
        <w:spacing w:before="0" w:after="120" w:line="276" w:lineRule="auto"/>
        <w:jc w:val="both"/>
      </w:pPr>
      <w:r>
        <w:rPr>
          <w:rFonts w:ascii="Times New Roman" w:hAnsi="Times New Roman" w:cs="Times New Roman" w:eastAsia="Times New Roman"/>
          <w:sz w:val="24"/>
          <w:szCs w:val="24"/>
        </w:rPr>
        <w:t xml:space="preserve">Figure 4.1 reads left to right. Seven public logs come in on the left. The first stage downloads each file, checks it against the publisher's record where one exists, and writes down a SHA-256. A second stage extracts archives safely. Then the conversion stage turns CROP and OULAD into OCEL 2.0, and every log ends up in the same four tables: events, objects, event-to-object links and object-to-object links.</w:t>
      </w:r>
    </w:p>
    <w:p>
      <w:pPr>
        <w:keepNext/>
        <w:spacing w:before="120" w:after="60" w:line="240" w:lineRule="auto"/>
        <w:jc w:val="center"/>
      </w:pPr>
      <w:r>
        <w:drawing>
          <wp:inline distT="0" distB="0" distL="0" distR="0">
            <wp:extent cx="5760720" cy="3339846"/>
            <wp:docPr id="502" name="Figure 4.1" descr="System architecture of the flattening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architecture.png"/>
                    <pic:cNvPicPr/>
                  </pic:nvPicPr>
                  <pic:blipFill>
                    <a:blip r:embed="rIdImg2"/>
                    <a:stretch>
                      <a:fillRect/>
                    </a:stretch>
                  </pic:blipFill>
                  <pic:spPr>
                    <a:xfrm>
                      <a:off x="0" y="0"/>
                      <a:ext cx="5760720" cy="3339846"/>
                    </a:xfrm>
                    <a:prstGeom prst="rect">
                      <a:avLst/>
                    </a:prstGeom>
                  </pic:spPr>
                </pic:pic>
              </a:graphicData>
            </a:graphic>
          </wp:inline>
        </w:drawing>
      </w:r>
    </w:p>
    <w:p>
      <w:pPr>
        <w:spacing w:before="0" w:after="200" w:line="240" w:lineRule="auto"/>
        <w:jc w:val="center"/>
      </w:pPr>
      <w:bookmarkStart w:id="1033" w:name="_Fig_4_1"/>
      <w:r>
        <w:rPr>
          <w:rFonts w:ascii="Times New Roman" w:hAnsi="Times New Roman" w:cs="Times New Roman" w:eastAsia="Times New Roman"/>
          <w:b/>
          <w:bCs/>
          <w:sz w:val="20"/>
          <w:szCs w:val="20"/>
        </w:rPr>
        <w:t xml:space="preserve">Figure 4.1: </w:t>
      </w:r>
      <w:r>
        <w:rPr>
          <w:rFonts w:ascii="Times New Roman" w:hAnsi="Times New Roman" w:cs="Times New Roman" w:eastAsia="Times New Roman"/>
          <w:sz w:val="20"/>
          <w:szCs w:val="20"/>
        </w:rPr>
        <w:t xml:space="preserve">System architecture of the flattening study</w:t>
      </w:r>
      <w:bookmarkEnd w:id="1033"/>
    </w:p>
    <w:p>
      <w:pPr>
        <w:spacing w:before="0" w:after="120" w:line="276" w:lineRule="auto"/>
        <w:jc w:val="both"/>
      </w:pPr>
      <w:r>
        <w:rPr>
          <w:rFonts w:ascii="Times New Roman" w:hAnsi="Times New Roman" w:cs="Times New Roman" w:eastAsia="Times New Roman"/>
          <w:sz w:val="24"/>
          <w:szCs w:val="24"/>
        </w:rPr>
        <w:t xml:space="preserve">Three engines read those tables. The distortion engine computes deficiency, convergence, divergence and coupling for each case notion. The consequence engine compares flat and object-centric outputs. The rule-based engine is the appendix-level part. A validation stage re-implements the key computations independently, and everything ends up as CSV, JSON and Markdown files that the report and the paper are written from. The dashed box at the top isn't built. It marks the spot where an adapter from the portal's audit log would plug in, if de-identified logs ever get approved.</w:t>
      </w:r>
    </w:p>
    <w:p>
      <w:pPr>
        <w:keepNext/>
        <w:spacing w:before="200" w:after="100" w:line="276" w:lineRule="auto"/>
        <w:outlineLvl w:val="1"/>
      </w:pPr>
      <w:bookmarkStart w:id="1034" w:name="_Toc_4_2"/>
      <w:r>
        <w:rPr>
          <w:rFonts w:ascii="Times New Roman" w:hAnsi="Times New Roman" w:cs="Times New Roman" w:eastAsia="Times New Roman"/>
          <w:b/>
          <w:bCs/>
          <w:sz w:val="24"/>
          <w:szCs w:val="24"/>
        </w:rPr>
        <w:t xml:space="preserve">4.2  Design</w:t>
      </w:r>
      <w:bookmarkEnd w:id="1034"/>
    </w:p>
    <w:p>
      <w:pPr>
        <w:keepNext/>
        <w:spacing w:before="140" w:after="80" w:line="276" w:lineRule="auto"/>
        <w:outlineLvl w:val="2"/>
      </w:pPr>
      <w:bookmarkStart w:id="1035" w:name="_Toc_4_2_1"/>
      <w:r>
        <w:rPr>
          <w:rFonts w:ascii="Times New Roman" w:hAnsi="Times New Roman" w:cs="Times New Roman" w:eastAsia="Times New Roman"/>
          <w:b/>
          <w:bCs/>
          <w:i/>
          <w:iCs/>
          <w:sz w:val="24"/>
          <w:szCs w:val="24"/>
        </w:rPr>
        <w:t xml:space="preserve">4.2.1  Data Flow Diagram</w:t>
      </w:r>
      <w:bookmarkEnd w:id="1035"/>
    </w:p>
    <w:p>
      <w:pPr>
        <w:spacing w:before="0" w:after="120" w:line="276" w:lineRule="auto"/>
        <w:jc w:val="both"/>
      </w:pPr>
      <w:r>
        <w:rPr>
          <w:rFonts w:ascii="Times New Roman" w:hAnsi="Times New Roman" w:cs="Times New Roman" w:eastAsia="Times New Roman"/>
          <w:sz w:val="24"/>
          <w:szCs w:val="24"/>
        </w:rPr>
        <w:t xml:space="preserve">Figure 4.2 is the level-0 diagram: one process, two outside parties. Public data publishers send in dataset archives and licences. The researchers and the guide send run commands and settings, and get tables, figures and validation status back.</w:t>
      </w:r>
    </w:p>
    <w:p>
      <w:pPr>
        <w:keepNext/>
        <w:spacing w:before="120" w:after="60" w:line="240" w:lineRule="auto"/>
        <w:jc w:val="center"/>
      </w:pPr>
      <w:r>
        <w:drawing>
          <wp:inline distT="0" distB="0" distL="0" distR="0">
            <wp:extent cx="5120640" cy="2353056"/>
            <wp:docPr id="503" name="Figure 4.2" descr="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dfd0.png"/>
                    <pic:cNvPicPr/>
                  </pic:nvPicPr>
                  <pic:blipFill>
                    <a:blip r:embed="rIdImg3"/>
                    <a:stretch>
                      <a:fillRect/>
                    </a:stretch>
                  </pic:blipFill>
                  <pic:spPr>
                    <a:xfrm>
                      <a:off x="0" y="0"/>
                      <a:ext cx="5120640" cy="2353056"/>
                    </a:xfrm>
                    <a:prstGeom prst="rect">
                      <a:avLst/>
                    </a:prstGeom>
                  </pic:spPr>
                </pic:pic>
              </a:graphicData>
            </a:graphic>
          </wp:inline>
        </w:drawing>
      </w:r>
    </w:p>
    <w:p>
      <w:pPr>
        <w:spacing w:before="0" w:after="200" w:line="240" w:lineRule="auto"/>
        <w:jc w:val="center"/>
      </w:pPr>
      <w:bookmarkStart w:id="1036" w:name="_Fig_4_2"/>
      <w:r>
        <w:rPr>
          <w:rFonts w:ascii="Times New Roman" w:hAnsi="Times New Roman" w:cs="Times New Roman" w:eastAsia="Times New Roman"/>
          <w:b/>
          <w:bCs/>
          <w:sz w:val="20"/>
          <w:szCs w:val="20"/>
        </w:rPr>
        <w:t xml:space="preserve">Figure 4.2: </w:t>
      </w:r>
      <w:r>
        <w:rPr>
          <w:rFonts w:ascii="Times New Roman" w:hAnsi="Times New Roman" w:cs="Times New Roman" w:eastAsia="Times New Roman"/>
          <w:sz w:val="20"/>
          <w:szCs w:val="20"/>
        </w:rPr>
        <w:t xml:space="preserve">Data flow diagram, level 0</w:t>
      </w:r>
      <w:bookmarkEnd w:id="1036"/>
    </w:p>
    <w:p>
      <w:pPr>
        <w:spacing w:before="0" w:after="120" w:line="276" w:lineRule="auto"/>
        <w:jc w:val="both"/>
      </w:pPr>
      <w:r>
        <w:rPr>
          <w:rFonts w:ascii="Times New Roman" w:hAnsi="Times New Roman" w:cs="Times New Roman" w:eastAsia="Times New Roman"/>
          <w:sz w:val="24"/>
          <w:szCs w:val="24"/>
        </w:rPr>
        <w:t xml:space="preserve">Figure 4.3 opens that process into six. Process 1.0 acquires and verifies archives into store D1. Process 2.0 extracts and converts them into the OCEL logs of store D2. Processes 3.0 (distortion metrics) and 4.0 (consequence analysis) read D2 and write the metric tables of store D3. Process 5.0 validates, and process 6.0 summarises the results for the researchers.</w:t>
      </w:r>
    </w:p>
    <w:p>
      <w:pPr>
        <w:keepNext/>
        <w:spacing w:before="120" w:after="60" w:line="240" w:lineRule="auto"/>
        <w:jc w:val="center"/>
      </w:pPr>
      <w:r>
        <w:drawing>
          <wp:inline distT="0" distB="0" distL="0" distR="0">
            <wp:extent cx="5669280" cy="3286832"/>
            <wp:docPr id="504" name="Figure 4.3" descr="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dfd1.png"/>
                    <pic:cNvPicPr/>
                  </pic:nvPicPr>
                  <pic:blipFill>
                    <a:blip r:embed="rIdImg4"/>
                    <a:stretch>
                      <a:fillRect/>
                    </a:stretch>
                  </pic:blipFill>
                  <pic:spPr>
                    <a:xfrm>
                      <a:off x="0" y="0"/>
                      <a:ext cx="5669280" cy="3286832"/>
                    </a:xfrm>
                    <a:prstGeom prst="rect">
                      <a:avLst/>
                    </a:prstGeom>
                  </pic:spPr>
                </pic:pic>
              </a:graphicData>
            </a:graphic>
          </wp:inline>
        </w:drawing>
      </w:r>
    </w:p>
    <w:p>
      <w:pPr>
        <w:spacing w:before="0" w:after="200" w:line="240" w:lineRule="auto"/>
        <w:jc w:val="center"/>
      </w:pPr>
      <w:bookmarkStart w:id="1037" w:name="_Fig_4_3"/>
      <w:r>
        <w:rPr>
          <w:rFonts w:ascii="Times New Roman" w:hAnsi="Times New Roman" w:cs="Times New Roman" w:eastAsia="Times New Roman"/>
          <w:b/>
          <w:bCs/>
          <w:sz w:val="20"/>
          <w:szCs w:val="20"/>
        </w:rPr>
        <w:t xml:space="preserve">Figure 4.3: </w:t>
      </w:r>
      <w:r>
        <w:rPr>
          <w:rFonts w:ascii="Times New Roman" w:hAnsi="Times New Roman" w:cs="Times New Roman" w:eastAsia="Times New Roman"/>
          <w:sz w:val="20"/>
          <w:szCs w:val="20"/>
        </w:rPr>
        <w:t xml:space="preserve">Data flow diagram, level 1</w:t>
      </w:r>
      <w:bookmarkEnd w:id="1037"/>
    </w:p>
    <w:p>
      <w:pPr>
        <w:keepNext/>
        <w:spacing w:before="140" w:after="80" w:line="276" w:lineRule="auto"/>
        <w:outlineLvl w:val="2"/>
      </w:pPr>
      <w:bookmarkStart w:id="1038" w:name="_Toc_4_2_2"/>
      <w:r>
        <w:rPr>
          <w:rFonts w:ascii="Times New Roman" w:hAnsi="Times New Roman" w:cs="Times New Roman" w:eastAsia="Times New Roman"/>
          <w:b/>
          <w:bCs/>
          <w:i/>
          <w:iCs/>
          <w:sz w:val="24"/>
          <w:szCs w:val="24"/>
        </w:rPr>
        <w:t xml:space="preserve">4.2.2  Use Case Diagram</w:t>
      </w:r>
      <w:bookmarkEnd w:id="1038"/>
    </w:p>
    <w:p>
      <w:pPr>
        <w:spacing w:before="0" w:after="120" w:line="276" w:lineRule="auto"/>
        <w:jc w:val="both"/>
      </w:pPr>
      <w:r>
        <w:rPr>
          <w:rFonts w:ascii="Times New Roman" w:hAnsi="Times New Roman" w:cs="Times New Roman" w:eastAsia="Times New Roman"/>
          <w:sz w:val="24"/>
          <w:szCs w:val="24"/>
        </w:rPr>
        <w:t xml:space="preserve">Figure 4.4 has two actors. The researcher (the team) downloads and verifies datasets, converts a source to OCEL 2.0, computes distortion metrics, runs the consequence analysis, validates against independent code and exports tables. The guide or panel reviews the results and approves them.</w:t>
      </w:r>
    </w:p>
    <w:p>
      <w:pPr>
        <w:keepNext/>
        <w:spacing w:before="120" w:after="60" w:line="240" w:lineRule="auto"/>
        <w:jc w:val="center"/>
      </w:pPr>
      <w:r>
        <w:drawing>
          <wp:inline distT="0" distB="0" distL="0" distR="0">
            <wp:extent cx="5120640" cy="3072384"/>
            <wp:docPr id="505" name="Figure 4.4"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usecase.png"/>
                    <pic:cNvPicPr/>
                  </pic:nvPicPr>
                  <pic:blipFill>
                    <a:blip r:embed="rIdImg5"/>
                    <a:stretch>
                      <a:fillRect/>
                    </a:stretch>
                  </pic:blipFill>
                  <pic:spPr>
                    <a:xfrm>
                      <a:off x="0" y="0"/>
                      <a:ext cx="5120640" cy="3072384"/>
                    </a:xfrm>
                    <a:prstGeom prst="rect">
                      <a:avLst/>
                    </a:prstGeom>
                  </pic:spPr>
                </pic:pic>
              </a:graphicData>
            </a:graphic>
          </wp:inline>
        </w:drawing>
      </w:r>
    </w:p>
    <w:p>
      <w:pPr>
        <w:spacing w:before="0" w:after="200" w:line="240" w:lineRule="auto"/>
        <w:jc w:val="center"/>
      </w:pPr>
      <w:bookmarkStart w:id="1039" w:name="_Fig_4_4"/>
      <w:r>
        <w:rPr>
          <w:rFonts w:ascii="Times New Roman" w:hAnsi="Times New Roman" w:cs="Times New Roman" w:eastAsia="Times New Roman"/>
          <w:b/>
          <w:bCs/>
          <w:sz w:val="20"/>
          <w:szCs w:val="20"/>
        </w:rPr>
        <w:t xml:space="preserve">Figure 4.4: </w:t>
      </w:r>
      <w:r>
        <w:rPr>
          <w:rFonts w:ascii="Times New Roman" w:hAnsi="Times New Roman" w:cs="Times New Roman" w:eastAsia="Times New Roman"/>
          <w:sz w:val="20"/>
          <w:szCs w:val="20"/>
        </w:rPr>
        <w:t xml:space="preserve">Use case diagram</w:t>
      </w:r>
      <w:bookmarkEnd w:id="1039"/>
    </w:p>
    <w:p>
      <w:pPr>
        <w:keepNext/>
        <w:spacing w:before="140" w:after="80" w:line="276" w:lineRule="auto"/>
        <w:outlineLvl w:val="2"/>
      </w:pPr>
      <w:bookmarkStart w:id="1040" w:name="_Toc_4_2_3"/>
      <w:r>
        <w:rPr>
          <w:rFonts w:ascii="Times New Roman" w:hAnsi="Times New Roman" w:cs="Times New Roman" w:eastAsia="Times New Roman"/>
          <w:b/>
          <w:bCs/>
          <w:i/>
          <w:iCs/>
          <w:sz w:val="24"/>
          <w:szCs w:val="24"/>
        </w:rPr>
        <w:t xml:space="preserve">4.2.3  Class Diagram</w:t>
      </w:r>
      <w:bookmarkEnd w:id="1040"/>
    </w:p>
    <w:p>
      <w:pPr>
        <w:spacing w:before="0" w:after="120" w:line="276" w:lineRule="auto"/>
        <w:jc w:val="both"/>
      </w:pPr>
      <w:r>
        <w:rPr>
          <w:rFonts w:ascii="Times New Roman" w:hAnsi="Times New Roman" w:cs="Times New Roman" w:eastAsia="Times New Roman"/>
          <w:sz w:val="24"/>
          <w:szCs w:val="24"/>
        </w:rPr>
        <w:t xml:space="preserve">Figure 4.5 shows the main data structures.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holds the four tables of a loaded log. </w:t>
      </w:r>
      <w:r>
        <w:rPr>
          <w:rFonts w:ascii="Courier New" w:hAnsi="Courier New" w:cs="Courier New" w:eastAsia="Courier New"/>
          <w:sz w:val="22"/>
          <w:szCs w:val="22"/>
        </w:rPr>
        <w:t xml:space="preserve">Prepared</w:t>
      </w:r>
      <w:r>
        <w:rPr>
          <w:rFonts w:ascii="Times New Roman" w:hAnsi="Times New Roman" w:cs="Times New Roman" w:eastAsia="Times New Roman"/>
          <w:sz w:val="24"/>
          <w:szCs w:val="24"/>
        </w:rPr>
        <w:t xml:space="preserve"> wraps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with integer-coded arrays, which is what makes rankings and directly-follows counts fast. </w:t>
      </w:r>
      <w:r>
        <w:rPr>
          <w:rFonts w:ascii="Courier New" w:hAnsi="Courier New" w:cs="Courier New" w:eastAsia="Courier New"/>
          <w:sz w:val="22"/>
          <w:szCs w:val="22"/>
        </w:rPr>
        <w:t xml:space="preserve">View</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Predicate</w:t>
      </w:r>
      <w:r>
        <w:rPr>
          <w:rFonts w:ascii="Times New Roman" w:hAnsi="Times New Roman" w:cs="Times New Roman" w:eastAsia="Times New Roman"/>
          <w:sz w:val="24"/>
          <w:szCs w:val="24"/>
        </w:rPr>
        <w:t xml:space="preserve"> belong to the rule-based engine, where a predicate gets evaluated on a view of the log (native, flat or denormalised flat). One thing to flag: in the code, the loader and the registry are modules of functions, not classes. We drew them as classes so their jobs are easy to see.</w:t>
      </w:r>
    </w:p>
    <w:p>
      <w:pPr>
        <w:keepNext/>
        <w:spacing w:before="120" w:after="60" w:line="240" w:lineRule="auto"/>
        <w:jc w:val="center"/>
      </w:pPr>
      <w:r>
        <w:drawing>
          <wp:inline distT="0" distB="0" distL="0" distR="0">
            <wp:extent cx="5486400" cy="3291840"/>
            <wp:docPr id="506" name="Figure 4.5" descr="Class diagram of the main stru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class.png"/>
                    <pic:cNvPicPr/>
                  </pic:nvPicPr>
                  <pic:blipFill>
                    <a:blip r:embed="rIdImg6"/>
                    <a:stretch>
                      <a:fillRect/>
                    </a:stretch>
                  </pic:blipFill>
                  <pic:spPr>
                    <a:xfrm>
                      <a:off x="0" y="0"/>
                      <a:ext cx="5486400" cy="3291840"/>
                    </a:xfrm>
                    <a:prstGeom prst="rect">
                      <a:avLst/>
                    </a:prstGeom>
                  </pic:spPr>
                </pic:pic>
              </a:graphicData>
            </a:graphic>
          </wp:inline>
        </w:drawing>
      </w:r>
    </w:p>
    <w:p>
      <w:pPr>
        <w:spacing w:before="0" w:after="200" w:line="240" w:lineRule="auto"/>
        <w:jc w:val="center"/>
      </w:pPr>
      <w:bookmarkStart w:id="1041" w:name="_Fig_4_5"/>
      <w:r>
        <w:rPr>
          <w:rFonts w:ascii="Times New Roman" w:hAnsi="Times New Roman" w:cs="Times New Roman" w:eastAsia="Times New Roman"/>
          <w:b/>
          <w:bCs/>
          <w:sz w:val="20"/>
          <w:szCs w:val="20"/>
        </w:rPr>
        <w:t xml:space="preserve">Figure 4.5: </w:t>
      </w:r>
      <w:r>
        <w:rPr>
          <w:rFonts w:ascii="Times New Roman" w:hAnsi="Times New Roman" w:cs="Times New Roman" w:eastAsia="Times New Roman"/>
          <w:sz w:val="20"/>
          <w:szCs w:val="20"/>
        </w:rPr>
        <w:t xml:space="preserve">Class diagram of the main structures</w:t>
      </w:r>
      <w:bookmarkEnd w:id="1041"/>
    </w:p>
    <w:p>
      <w:pPr>
        <w:keepNext/>
        <w:spacing w:before="140" w:after="80" w:line="276" w:lineRule="auto"/>
        <w:outlineLvl w:val="2"/>
      </w:pPr>
      <w:bookmarkStart w:id="1042" w:name="_Toc_4_2_4"/>
      <w:r>
        <w:rPr>
          <w:rFonts w:ascii="Times New Roman" w:hAnsi="Times New Roman" w:cs="Times New Roman" w:eastAsia="Times New Roman"/>
          <w:b/>
          <w:bCs/>
          <w:i/>
          <w:iCs/>
          <w:sz w:val="24"/>
          <w:szCs w:val="24"/>
        </w:rPr>
        <w:t xml:space="preserve">4.2.4  Sequence Diagram</w:t>
      </w:r>
      <w:bookmarkEnd w:id="1042"/>
    </w:p>
    <w:p>
      <w:pPr>
        <w:spacing w:before="0" w:after="120" w:line="276" w:lineRule="auto"/>
        <w:jc w:val="both"/>
      </w:pPr>
      <w:r>
        <w:rPr>
          <w:rFonts w:ascii="Times New Roman" w:hAnsi="Times New Roman" w:cs="Times New Roman" w:eastAsia="Times New Roman"/>
          <w:sz w:val="24"/>
          <w:szCs w:val="24"/>
        </w:rPr>
        <w:t xml:space="preserve">Figure 4.6 follows one full run. The researcher starts the download, which verifies and records each file. Conversion writes OCEL 2.0 SQLite. The distortion engine asks the loader for an </w:t>
      </w:r>
      <w:r>
        <w:rPr>
          <w:rFonts w:ascii="Courier New" w:hAnsi="Courier New" w:cs="Courier New" w:eastAsia="Courier New"/>
          <w:sz w:val="22"/>
          <w:szCs w:val="22"/>
        </w:rPr>
        <w:t xml:space="preserve">Ocel</w:t>
      </w:r>
      <w:r>
        <w:rPr>
          <w:rFonts w:ascii="Times New Roman" w:hAnsi="Times New Roman" w:cs="Times New Roman" w:eastAsia="Times New Roman"/>
          <w:sz w:val="24"/>
          <w:szCs w:val="24"/>
        </w:rPr>
        <w:t xml:space="preserve"> and writes its JSON results, and the consequence engine does the same. The self-check recomputes the directly-follows pairs and the entity ranking in plain Python, and the summaries come last.</w:t>
      </w:r>
    </w:p>
    <w:p>
      <w:pPr>
        <w:keepNext/>
        <w:spacing w:before="120" w:after="60" w:line="240" w:lineRule="auto"/>
        <w:jc w:val="center"/>
      </w:pPr>
      <w:r>
        <w:drawing>
          <wp:inline distT="0" distB="0" distL="0" distR="0">
            <wp:extent cx="5669280" cy="3627664"/>
            <wp:docPr id="507" name="Figure 4.6" descr="Sequence diagram of one end-to-end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sequence.png"/>
                    <pic:cNvPicPr/>
                  </pic:nvPicPr>
                  <pic:blipFill>
                    <a:blip r:embed="rIdImg7"/>
                    <a:stretch>
                      <a:fillRect/>
                    </a:stretch>
                  </pic:blipFill>
                  <pic:spPr>
                    <a:xfrm>
                      <a:off x="0" y="0"/>
                      <a:ext cx="5669280" cy="3627664"/>
                    </a:xfrm>
                    <a:prstGeom prst="rect">
                      <a:avLst/>
                    </a:prstGeom>
                  </pic:spPr>
                </pic:pic>
              </a:graphicData>
            </a:graphic>
          </wp:inline>
        </w:drawing>
      </w:r>
    </w:p>
    <w:p>
      <w:pPr>
        <w:spacing w:before="0" w:after="200" w:line="240" w:lineRule="auto"/>
        <w:jc w:val="center"/>
      </w:pPr>
      <w:bookmarkStart w:id="1043" w:name="_Fig_4_6"/>
      <w:r>
        <w:rPr>
          <w:rFonts w:ascii="Times New Roman" w:hAnsi="Times New Roman" w:cs="Times New Roman" w:eastAsia="Times New Roman"/>
          <w:b/>
          <w:bCs/>
          <w:sz w:val="20"/>
          <w:szCs w:val="20"/>
        </w:rPr>
        <w:t xml:space="preserve">Figure 4.6: </w:t>
      </w:r>
      <w:r>
        <w:rPr>
          <w:rFonts w:ascii="Times New Roman" w:hAnsi="Times New Roman" w:cs="Times New Roman" w:eastAsia="Times New Roman"/>
          <w:sz w:val="20"/>
          <w:szCs w:val="20"/>
        </w:rPr>
        <w:t xml:space="preserve">Sequence diagram of one end-to-end run</w:t>
      </w:r>
      <w:bookmarkEnd w:id="1043"/>
    </w:p>
    <w:p>
      <w:pPr>
        <w:keepNext/>
        <w:spacing w:before="200" w:after="100" w:line="276" w:lineRule="auto"/>
        <w:outlineLvl w:val="1"/>
      </w:pPr>
      <w:bookmarkStart w:id="1044" w:name="_Toc_4_3"/>
      <w:r>
        <w:rPr>
          <w:rFonts w:ascii="Times New Roman" w:hAnsi="Times New Roman" w:cs="Times New Roman" w:eastAsia="Times New Roman"/>
          <w:b/>
          <w:bCs/>
          <w:sz w:val="24"/>
          <w:szCs w:val="24"/>
        </w:rPr>
        <w:t xml:space="preserve">4.3  OCEL 2.0 Model of the Capstone Lifecycle (Design Only)</w:t>
      </w:r>
      <w:bookmarkEnd w:id="1044"/>
    </w:p>
    <w:p>
      <w:pPr>
        <w:spacing w:before="0" w:after="120" w:line="276" w:lineRule="auto"/>
        <w:jc w:val="both"/>
      </w:pPr>
      <w:r>
        <w:rPr>
          <w:rFonts w:ascii="Times New Roman" w:hAnsi="Times New Roman" w:cs="Times New Roman" w:eastAsia="Times New Roman"/>
          <w:sz w:val="24"/>
          <w:szCs w:val="24"/>
        </w:rPr>
        <w:t xml:space="preserve">This section describes the model we designed for the portal, and it's a design, not a result. We derived it from the portal's documentation (the audit-trail, submission-system and scoring-system documents in the repository), and we haven't filled it with portal data because there isn't any.</w:t>
      </w:r>
    </w:p>
    <w:p>
      <w:pPr>
        <w:keepNext/>
        <w:spacing w:before="160" w:after="80" w:line="240" w:lineRule="auto"/>
        <w:jc w:val="center"/>
      </w:pPr>
      <w:bookmarkStart w:id="1045" w:name="_Tab_4_1"/>
      <w:r>
        <w:rPr>
          <w:rFonts w:ascii="Times New Roman" w:hAnsi="Times New Roman" w:cs="Times New Roman" w:eastAsia="Times New Roman"/>
          <w:b/>
          <w:bCs/>
          <w:sz w:val="20"/>
          <w:szCs w:val="20"/>
        </w:rPr>
        <w:t xml:space="preserve">Table 4.1: </w:t>
      </w:r>
      <w:r>
        <w:rPr>
          <w:rFonts w:ascii="Times New Roman" w:hAnsi="Times New Roman" w:cs="Times New Roman" w:eastAsia="Times New Roman"/>
          <w:sz w:val="20"/>
          <w:szCs w:val="20"/>
        </w:rPr>
        <w:t xml:space="preserve">Object types of the capstone model</w:t>
      </w:r>
      <w:bookmarkEnd w:id="1045"/>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4148"/>
        <w:gridCol w:w="3111"/>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Object type</w:t>
            </w:r>
          </w:p>
        </w:tc>
        <w:tc>
          <w:tcPr>
            <w:tcW w:w="414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Meaning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Example relations (qualifiers)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Student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A team member; the leader may submit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member-of (team)</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Team</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Group executing 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executes (project)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Project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capstone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has-report, guides</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Faculty (guide)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Guide who approves ideas, opens reviews and decides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guides (project), reviews (stage)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The report for a project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has-version</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Report version</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One compiled version; incremented on each rejection</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has-score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20"/>
                <w:szCs w:val="20"/>
              </w:rPr>
              <w:t xml:space="preserve">Review stage</w:t>
            </w:r>
          </w:p>
        </w:tc>
        <w:tc>
          <w:tcPr>
            <w:tcW w:w="4148" w:type="dxa"/>
            <w:vAlign w:val="center"/>
          </w:tcPr>
          <w:p>
            <w:pPr>
              <w:keepNext/>
              <w:spacing w:before="0" w:after="0" w:line="240" w:lineRule="auto"/>
              <w:jc w:val="left"/>
            </w:pPr>
            <w:r>
              <w:rPr>
                <w:rFonts w:ascii="Times New Roman" w:hAnsi="Times New Roman" w:cs="Times New Roman" w:eastAsia="Times New Roman"/>
                <w:sz w:val="20"/>
                <w:szCs w:val="20"/>
              </w:rPr>
              <w:t xml:space="preserve">R1, R2 or R3</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at-stage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20"/>
                <w:szCs w:val="20"/>
              </w:rPr>
              <w:t xml:space="preserve">Score</w:t>
            </w:r>
          </w:p>
        </w:tc>
        <w:tc>
          <w:tcPr>
            <w:tcW w:w="4148" w:type="dxa"/>
            <w:vAlign w:val="center"/>
          </w:tcPr>
          <w:p>
            <w:pPr>
              <w:spacing w:before="0" w:after="0" w:line="240" w:lineRule="auto"/>
              <w:jc w:val="left"/>
            </w:pPr>
            <w:r>
              <w:rPr>
                <w:rFonts w:ascii="Times New Roman" w:hAnsi="Times New Roman" w:cs="Times New Roman" w:eastAsia="Times New Roman"/>
                <w:sz w:val="20"/>
                <w:szCs w:val="20"/>
              </w:rPr>
              <w:t xml:space="preserve">Similarity and AI percentages; written once, then locked</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has-score (from version)</w:t>
            </w:r>
          </w:p>
        </w:tc>
      </w:tr>
    </w:tbl>
    <w:p>
      <w:pPr>
        <w:spacing w:before="0" w:after="120" w:line="240" w:lineRule="auto"/>
      </w:pPr>
    </w:p>
    <w:p>
      <w:pPr>
        <w:keepNext/>
        <w:spacing w:before="120" w:after="60" w:line="240" w:lineRule="auto"/>
        <w:jc w:val="center"/>
      </w:pPr>
      <w:r>
        <w:drawing>
          <wp:inline distT="0" distB="0" distL="0" distR="0">
            <wp:extent cx="5486400" cy="3069771"/>
            <wp:docPr id="508" name="Figure 4.7" descr="Object types, relations and events of the capstone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capstone_schema.png"/>
                    <pic:cNvPicPr/>
                  </pic:nvPicPr>
                  <pic:blipFill>
                    <a:blip r:embed="rIdImg8"/>
                    <a:stretch>
                      <a:fillRect/>
                    </a:stretch>
                  </pic:blipFill>
                  <pic:spPr>
                    <a:xfrm>
                      <a:off x="0" y="0"/>
                      <a:ext cx="5486400" cy="3069771"/>
                    </a:xfrm>
                    <a:prstGeom prst="rect">
                      <a:avLst/>
                    </a:prstGeom>
                  </pic:spPr>
                </pic:pic>
              </a:graphicData>
            </a:graphic>
          </wp:inline>
        </w:drawing>
      </w:r>
    </w:p>
    <w:p>
      <w:pPr>
        <w:spacing w:before="0" w:after="200" w:line="240" w:lineRule="auto"/>
        <w:jc w:val="center"/>
      </w:pPr>
      <w:bookmarkStart w:id="1046" w:name="_Fig_4_7"/>
      <w:r>
        <w:rPr>
          <w:rFonts w:ascii="Times New Roman" w:hAnsi="Times New Roman" w:cs="Times New Roman" w:eastAsia="Times New Roman"/>
          <w:b/>
          <w:bCs/>
          <w:sz w:val="20"/>
          <w:szCs w:val="20"/>
        </w:rPr>
        <w:t xml:space="preserve">Figure 4.7: </w:t>
      </w:r>
      <w:r>
        <w:rPr>
          <w:rFonts w:ascii="Times New Roman" w:hAnsi="Times New Roman" w:cs="Times New Roman" w:eastAsia="Times New Roman"/>
          <w:sz w:val="20"/>
          <w:szCs w:val="20"/>
        </w:rPr>
        <w:t xml:space="preserve">Object types, relations and events of the capstone lifecycle</w:t>
      </w:r>
      <w:bookmarkEnd w:id="1046"/>
    </w:p>
    <w:p>
      <w:pPr>
        <w:spacing w:before="0" w:after="120" w:line="276" w:lineRule="auto"/>
        <w:jc w:val="left"/>
      </w:pPr>
      <w:r>
        <w:rPr>
          <w:rFonts w:ascii="Times New Roman" w:hAnsi="Times New Roman" w:cs="Times New Roman" w:eastAsia="Times New Roman"/>
          <w:sz w:val="24"/>
          <w:szCs w:val="24"/>
        </w:rPr>
        <w:t xml:space="preserve">The portal writes an audit-log row for every state transition, and the documented action vocabulary gives eight event types: </w:t>
      </w:r>
      <w:r>
        <w:rPr>
          <w:rFonts w:ascii="Courier New" w:hAnsi="Courier New" w:cs="Courier New" w:eastAsia="Courier New"/>
          <w:sz w:val="22"/>
          <w:szCs w:val="22"/>
        </w:rPr>
        <w:t xml:space="preserve">PROJECT_CREATED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COMPILATION_STARTED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COMPILATION_SUCCESS</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COMPILATION_FAILED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STUDENT_SUBMITTED</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FACULTY_STARTED_VERIFICATION</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FACULTY_ACCEPTED</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FACULTY_REJECTED</w:t>
      </w:r>
      <w:r>
        <w:rPr>
          <w:rFonts w:ascii="Times New Roman" w:hAnsi="Times New Roman" w:cs="Times New Roman" w:eastAsia="Times New Roman"/>
          <w:sz w:val="24"/>
          <w:szCs w:val="24"/>
        </w:rPr>
        <w:t xml:space="preserve">. Each row carries a project identifier, the acting student or faculty member and a timestamp. In the model, an event relates to its project, to the acting student or faculty member, and, through joins on the project, to the team, the report version and the stage.</w:t>
      </w:r>
    </w:p>
    <w:p>
      <w:pPr>
        <w:spacing w:before="0" w:after="120" w:line="276" w:lineRule="auto"/>
        <w:jc w:val="both"/>
      </w:pPr>
      <w:r>
        <w:rPr>
          <w:rFonts w:ascii="Times New Roman" w:hAnsi="Times New Roman" w:cs="Times New Roman" w:eastAsia="Times New Roman"/>
          <w:sz w:val="24"/>
          <w:szCs w:val="24"/>
        </w:rPr>
        <w:t xml:space="preserve">A few documented facts shape the model. A score is written once and then locked. A rejection uses up one of three attempts and increments the report version. Compilation failures are free retries and don't use an attempt. The documentation lists the automatic move from stage R1 to R2 to R3 as a known gap, so the stage relation is part of the design, but the current system doesn't fully populate 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5</w:t>
      </w:r>
    </w:p>
    <w:p>
      <w:pPr>
        <w:keepNext/>
        <w:spacing w:before="0" w:after="240" w:line="276" w:lineRule="auto"/>
        <w:jc w:val="center"/>
        <w:outlineLvl w:val="0"/>
      </w:pPr>
      <w:bookmarkStart w:id="1047" w:name="_Toc_ch5"/>
      <w:r>
        <w:rPr>
          <w:rFonts w:ascii="Times New Roman" w:hAnsi="Times New Roman" w:cs="Times New Roman" w:eastAsia="Times New Roman"/>
          <w:b/>
          <w:bCs/>
          <w:sz w:val="28"/>
          <w:szCs w:val="28"/>
        </w:rPr>
        <w:t xml:space="preserve">METHODOLOGY AND TESTING</w:t>
      </w:r>
      <w:bookmarkEnd w:id="1047"/>
    </w:p>
    <w:p>
      <w:pPr>
        <w:keepNext/>
        <w:spacing w:before="200" w:after="100" w:line="276" w:lineRule="auto"/>
        <w:outlineLvl w:val="1"/>
      </w:pPr>
      <w:bookmarkStart w:id="1048" w:name="_Toc_5_1"/>
      <w:r>
        <w:rPr>
          <w:rFonts w:ascii="Times New Roman" w:hAnsi="Times New Roman" w:cs="Times New Roman" w:eastAsia="Times New Roman"/>
          <w:b/>
          <w:bCs/>
          <w:sz w:val="24"/>
          <w:szCs w:val="24"/>
        </w:rPr>
        <w:t xml:space="preserve">5.1  Module Description</w:t>
      </w:r>
      <w:bookmarkEnd w:id="1048"/>
    </w:p>
    <w:p>
      <w:pPr>
        <w:spacing w:before="0" w:after="120" w:line="276" w:lineRule="auto"/>
        <w:jc w:val="both"/>
      </w:pPr>
      <w:r>
        <w:rPr>
          <w:rFonts w:ascii="Times New Roman" w:hAnsi="Times New Roman" w:cs="Times New Roman" w:eastAsia="Times New Roman"/>
          <w:sz w:val="24"/>
          <w:szCs w:val="24"/>
        </w:rPr>
        <w:t xml:space="preserve">There are seven modules, M1 to M7. Each one is a small Python script in the </w:t>
      </w:r>
      <w:r>
        <w:rPr>
          <w:rFonts w:ascii="Courier New" w:hAnsi="Courier New" w:cs="Courier New" w:eastAsia="Courier New"/>
          <w:sz w:val="22"/>
          <w:szCs w:val="22"/>
        </w:rPr>
        <w:t xml:space="preserve">realdata/src</w:t>
      </w:r>
      <w:r>
        <w:rPr>
          <w:rFonts w:ascii="Times New Roman" w:hAnsi="Times New Roman" w:cs="Times New Roman" w:eastAsia="Times New Roman"/>
          <w:sz w:val="24"/>
          <w:szCs w:val="24"/>
        </w:rPr>
        <w:t xml:space="preserve"> directory, and each reads what the one before it wrote. Figure 4.1 shows how they connect.</w:t>
      </w:r>
    </w:p>
    <w:p>
      <w:pPr>
        <w:keepNext/>
        <w:spacing w:before="140" w:after="80" w:line="276" w:lineRule="auto"/>
        <w:outlineLvl w:val="2"/>
      </w:pPr>
      <w:bookmarkStart w:id="1049" w:name="_Toc_5_1_1"/>
      <w:r>
        <w:rPr>
          <w:rFonts w:ascii="Times New Roman" w:hAnsi="Times New Roman" w:cs="Times New Roman" w:eastAsia="Times New Roman"/>
          <w:b/>
          <w:bCs/>
          <w:i/>
          <w:iCs/>
          <w:sz w:val="24"/>
          <w:szCs w:val="24"/>
        </w:rPr>
        <w:t xml:space="preserve">5.1.1  M1: Acquire and Verify</w:t>
      </w:r>
      <w:bookmarkEnd w:id="1049"/>
    </w:p>
    <w:p>
      <w:pPr>
        <w:spacing w:before="0" w:after="120" w:line="276" w:lineRule="auto"/>
        <w:jc w:val="both"/>
      </w:pPr>
      <w:r>
        <w:rPr>
          <w:rFonts w:ascii="Courier New" w:hAnsi="Courier New" w:cs="Courier New" w:eastAsia="Courier New"/>
          <w:sz w:val="22"/>
          <w:szCs w:val="22"/>
        </w:rPr>
        <w:t xml:space="preserve">fetch_sources.py</w:t>
      </w:r>
      <w:r>
        <w:rPr>
          <w:rFonts w:ascii="Times New Roman" w:hAnsi="Times New Roman" w:cs="Times New Roman" w:eastAsia="Times New Roman"/>
          <w:sz w:val="24"/>
          <w:szCs w:val="24"/>
        </w:rPr>
        <w:t xml:space="preserve"> reads a manifest (</w:t>
      </w:r>
      <w:r>
        <w:rPr>
          <w:rFonts w:ascii="Courier New" w:hAnsi="Courier New" w:cs="Courier New" w:eastAsia="Courier New"/>
          <w:sz w:val="22"/>
          <w:szCs w:val="22"/>
        </w:rPr>
        <w:t xml:space="preserve">sources.json</w:t>
      </w:r>
      <w:r>
        <w:rPr>
          <w:rFonts w:ascii="Times New Roman" w:hAnsi="Times New Roman" w:cs="Times New Roman" w:eastAsia="Times New Roman"/>
          <w:sz w:val="24"/>
          <w:szCs w:val="24"/>
        </w:rPr>
        <w:t xml:space="preserve">) that lists each source with its record number, licence and expected files. For a Zenodo record it asks Zenodo for the file list, downloads each file, and compares the size and MD5 checksum with the record. A mismatch deletes the file and stops the run. OULAD comes from the UCI mirror and has no published checksum, so there we cap the download size and record the SHA-256. Every file gets a SHA-256 in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next to it. If a download stalls, the script resumes from the partial file with an HTTP Range request. That happened to us once.</w:t>
      </w:r>
    </w:p>
    <w:p>
      <w:pPr>
        <w:spacing w:before="0" w:after="120" w:line="276" w:lineRule="auto"/>
        <w:jc w:val="both"/>
      </w:pPr>
      <w:r>
        <w:rPr>
          <w:rFonts w:ascii="Courier New" w:hAnsi="Courier New" w:cs="Courier New" w:eastAsia="Courier New"/>
          <w:sz w:val="22"/>
          <w:szCs w:val="22"/>
        </w:rPr>
        <w:t xml:space="preserve">extract_archives.py</w:t>
      </w:r>
      <w:r>
        <w:rPr>
          <w:rFonts w:ascii="Times New Roman" w:hAnsi="Times New Roman" w:cs="Times New Roman" w:eastAsia="Times New Roman"/>
          <w:sz w:val="24"/>
          <w:szCs w:val="24"/>
        </w:rPr>
        <w:t xml:space="preserve"> unpacks each archive into a new, empty directory next to it, and it refuses any archive with an absolute path or a parent-relative (</w:t>
      </w:r>
      <w:r>
        <w:rPr>
          <w:rFonts w:ascii="Courier New" w:hAnsi="Courier New" w:cs="Courier New" w:eastAsia="Courier New"/>
          <w:sz w:val="22"/>
          <w:szCs w:val="22"/>
        </w:rPr>
        <w:t xml:space="preserve">..</w:t>
      </w:r>
      <w:r>
        <w:rPr>
          <w:rFonts w:ascii="Times New Roman" w:hAnsi="Times New Roman" w:cs="Times New Roman" w:eastAsia="Times New Roman"/>
          <w:sz w:val="24"/>
          <w:szCs w:val="24"/>
        </w:rPr>
        <w:t xml:space="preserve">) member path.</w:t>
      </w:r>
    </w:p>
    <w:p>
      <w:pPr>
        <w:spacing w:before="0" w:after="120" w:line="276" w:lineRule="auto"/>
        <w:jc w:val="both"/>
      </w:pPr>
      <w:r>
        <w:rPr>
          <w:rFonts w:ascii="Times New Roman" w:hAnsi="Times New Roman" w:cs="Times New Roman" w:eastAsia="Times New Roman"/>
          <w:sz w:val="24"/>
          <w:szCs w:val="24"/>
        </w:rPr>
        <w:t xml:space="preserve">Table 5.1 lists the sources, and Table 7.1 has the sizes of the logs.</w:t>
      </w:r>
    </w:p>
    <w:p>
      <w:pPr>
        <w:keepNext/>
        <w:spacing w:before="160" w:after="80" w:line="240" w:lineRule="auto"/>
        <w:jc w:val="center"/>
      </w:pPr>
      <w:bookmarkStart w:id="1050" w:name="_Tab_5_1"/>
      <w:r>
        <w:rPr>
          <w:rFonts w:ascii="Times New Roman" w:hAnsi="Times New Roman" w:cs="Times New Roman" w:eastAsia="Times New Roman"/>
          <w:b/>
          <w:bCs/>
          <w:sz w:val="20"/>
          <w:szCs w:val="20"/>
        </w:rPr>
        <w:t xml:space="preserve">Table 5.1: </w:t>
      </w:r>
      <w:r>
        <w:rPr>
          <w:rFonts w:ascii="Times New Roman" w:hAnsi="Times New Roman" w:cs="Times New Roman" w:eastAsia="Times New Roman"/>
          <w:sz w:val="20"/>
          <w:szCs w:val="20"/>
        </w:rPr>
        <w:t xml:space="preserve">Sources of the seven logs</w:t>
      </w:r>
      <w:bookmarkEnd w:id="1050"/>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111"/>
        <w:gridCol w:w="3111"/>
        <w:gridCol w:w="2852"/>
      </w:tblGrid>
      <w:tr>
        <w:trPr>
          <w:cantSplit/>
          <w:tblHeader/>
        </w:trPr>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Log</w:t>
            </w:r>
          </w:p>
        </w:tc>
        <w:tc>
          <w:tcPr>
            <w:tcW w:w="31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Publisher and record</w:t>
            </w:r>
          </w:p>
        </w:tc>
        <w:tc>
          <w:tcPr>
            <w:tcW w:w="285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20"/>
                <w:szCs w:val="20"/>
              </w:rPr>
              <w:t xml:space="preserve">Authors of the dataset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CROP (Gerrit)</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3599150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Paixao, Krinke, Han, Harman</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OULAD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UCI repository, DOI 10.24432/C5KK69</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Kuzilek, Hlosta, Zdrahal</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Angular commits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8430332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Pegoraro</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German Bundestag (20th period, filtered)</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16811928</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Diers, Peeva, Rennert, van der Aalst</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Enron e-mail (top 100,000 mails)</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21989732</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Ethereum DApps (300,000-event window)</w:t>
            </w:r>
          </w:p>
        </w:tc>
        <w:tc>
          <w:tcPr>
            <w:tcW w:w="3111" w:type="dxa"/>
            <w:vAlign w:val="center"/>
          </w:tcPr>
          <w:p>
            <w:pPr>
              <w:keepNext/>
              <w:spacing w:before="0" w:after="0" w:line="240" w:lineRule="auto"/>
              <w:jc w:val="left"/>
            </w:pPr>
            <w:r>
              <w:rPr>
                <w:rFonts w:ascii="Times New Roman" w:hAnsi="Times New Roman" w:cs="Times New Roman" w:eastAsia="Times New Roman"/>
                <w:sz w:val="20"/>
                <w:szCs w:val="20"/>
              </w:rPr>
              <w:t xml:space="preserve">Zenodo 21989580</w:t>
            </w:r>
          </w:p>
        </w:tc>
        <w:tc>
          <w:tcPr>
            <w:tcW w:w="2852" w:type="dxa"/>
            <w:vAlign w:val="center"/>
          </w:tcPr>
          <w:p>
            <w:pPr>
              <w:keepNext/>
              <w:spacing w:before="0" w:after="0" w:line="240" w:lineRule="auto"/>
              <w:jc w:val="left"/>
            </w:pPr>
            <w:r>
              <w:rPr>
                <w:rFonts w:ascii="Times New Roman" w:hAnsi="Times New Roman" w:cs="Times New Roman" w:eastAsia="Times New Roman"/>
                <w:sz w:val="20"/>
                <w:szCs w:val="20"/>
              </w:rPr>
              <w:t xml:space="preserve">Berti</w:t>
            </w:r>
          </w:p>
        </w:tc>
      </w:tr>
      <w:tr>
        <w:trPr>
          <w:cantSplit/>
        </w:trPr>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Age of Empires II (10-match filter)</w:t>
            </w:r>
          </w:p>
        </w:tc>
        <w:tc>
          <w:tcPr>
            <w:tcW w:w="3111" w:type="dxa"/>
            <w:vAlign w:val="center"/>
          </w:tcPr>
          <w:p>
            <w:pPr>
              <w:spacing w:before="0" w:after="0" w:line="240" w:lineRule="auto"/>
              <w:jc w:val="left"/>
            </w:pPr>
            <w:r>
              <w:rPr>
                <w:rFonts w:ascii="Times New Roman" w:hAnsi="Times New Roman" w:cs="Times New Roman" w:eastAsia="Times New Roman"/>
                <w:sz w:val="20"/>
                <w:szCs w:val="20"/>
              </w:rPr>
              <w:t xml:space="preserve">Zenodo 13365584</w:t>
            </w:r>
          </w:p>
        </w:tc>
        <w:tc>
          <w:tcPr>
            <w:tcW w:w="2852" w:type="dxa"/>
            <w:vAlign w:val="center"/>
          </w:tcPr>
          <w:p>
            <w:pPr>
              <w:spacing w:before="0" w:after="0" w:line="240" w:lineRule="auto"/>
              <w:jc w:val="left"/>
            </w:pPr>
            <w:r>
              <w:rPr>
                <w:rFonts w:ascii="Times New Roman" w:hAnsi="Times New Roman" w:cs="Times New Roman" w:eastAsia="Times New Roman"/>
                <w:sz w:val="20"/>
                <w:szCs w:val="20"/>
              </w:rPr>
              <w:t xml:space="preserve">Liss, Elbert, Flath</w:t>
            </w:r>
          </w:p>
        </w:tc>
      </w:tr>
    </w:tbl>
    <w:p>
      <w:pPr>
        <w:spacing w:before="0" w:after="120" w:line="240" w:lineRule="auto"/>
      </w:pPr>
    </w:p>
    <w:p>
      <w:pPr>
        <w:keepNext/>
        <w:spacing w:before="140" w:after="80" w:line="276" w:lineRule="auto"/>
        <w:outlineLvl w:val="2"/>
      </w:pPr>
      <w:bookmarkStart w:id="1051" w:name="_Toc_5_1_2"/>
      <w:r>
        <w:rPr>
          <w:rFonts w:ascii="Times New Roman" w:hAnsi="Times New Roman" w:cs="Times New Roman" w:eastAsia="Times New Roman"/>
          <w:b/>
          <w:bCs/>
          <w:i/>
          <w:iCs/>
          <w:sz w:val="24"/>
          <w:szCs w:val="24"/>
        </w:rPr>
        <w:t xml:space="preserve">5.1.2  M2: Convert and Load</w:t>
      </w:r>
      <w:bookmarkEnd w:id="1051"/>
    </w:p>
    <w:p>
      <w:pPr>
        <w:spacing w:before="0" w:after="120" w:line="276" w:lineRule="auto"/>
        <w:jc w:val="both"/>
      </w:pPr>
      <w:r>
        <w:rPr>
          <w:rFonts w:ascii="Times New Roman" w:hAnsi="Times New Roman" w:cs="Times New Roman" w:eastAsia="Times New Roman"/>
          <w:sz w:val="24"/>
          <w:szCs w:val="24"/>
        </w:rPr>
        <w:t xml:space="preserve">Five logs already come in an OCEL format: Angular and Bundestag as JSON, Age of Empires as SQLite, Enron and Ethereum as parquet bundles. For the other two, </w:t>
      </w:r>
      <w:r>
        <w:rPr>
          <w:rFonts w:ascii="Courier New" w:hAnsi="Courier New" w:cs="Courier New" w:eastAsia="Courier New"/>
          <w:sz w:val="22"/>
          <w:szCs w:val="22"/>
        </w:rPr>
        <w:t xml:space="preserve">convert_crop.py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convert_oulad.py</w:t>
      </w:r>
      <w:r>
        <w:rPr>
          <w:rFonts w:ascii="Times New Roman" w:hAnsi="Times New Roman" w:cs="Times New Roman" w:eastAsia="Times New Roman"/>
          <w:sz w:val="24"/>
          <w:szCs w:val="24"/>
        </w:rPr>
        <w:t xml:space="preserve"> build OCEL 2.0 SQLite files. CROP becomes three object types (change, person, project) with events like upload, comment, approve, merge and abandon. OULAD becomes four (student, enrollment, presentation, assessment) with events like register, submit and unregister.</w:t>
      </w:r>
    </w:p>
    <w:p>
      <w:pPr>
        <w:spacing w:before="0" w:after="120" w:line="276" w:lineRule="auto"/>
        <w:jc w:val="both"/>
      </w:pPr>
      <w:r>
        <w:rPr>
          <w:rFonts w:ascii="Courier New" w:hAnsi="Courier New" w:cs="Courier New" w:eastAsia="Courier New"/>
          <w:sz w:val="22"/>
          <w:szCs w:val="22"/>
        </w:rPr>
        <w:t xml:space="preserve">ocel_io.py</w:t>
      </w:r>
      <w:r>
        <w:rPr>
          <w:rFonts w:ascii="Times New Roman" w:hAnsi="Times New Roman" w:cs="Times New Roman" w:eastAsia="Times New Roman"/>
          <w:sz w:val="24"/>
          <w:szCs w:val="24"/>
        </w:rPr>
        <w:t xml:space="preserve"> loads every format into the same four pandas tables. It hashes personal identifiers with a salted hash (the Enron e-mail addresses and the CROP names), splits the Enron e-mail address type by role (sender, recipient, copied) so each role can be a case notion, and for Ethereum cuts a contiguous window of 300,000 events. The flattening function used everywhere else lives there too, and it's next.</w:t>
      </w:r>
    </w:p>
    <w:p>
      <w:pPr>
        <w:keepNext/>
        <w:spacing w:before="140" w:after="80" w:line="276" w:lineRule="auto"/>
        <w:outlineLvl w:val="2"/>
      </w:pPr>
      <w:bookmarkStart w:id="1052" w:name="_Toc_5_1_3"/>
      <w:r>
        <w:rPr>
          <w:rFonts w:ascii="Times New Roman" w:hAnsi="Times New Roman" w:cs="Times New Roman" w:eastAsia="Times New Roman"/>
          <w:b/>
          <w:bCs/>
          <w:i/>
          <w:iCs/>
          <w:sz w:val="24"/>
          <w:szCs w:val="24"/>
        </w:rPr>
        <w:t xml:space="preserve">5.1.3  M3: Distortion Metrics</w:t>
      </w:r>
      <w:bookmarkEnd w:id="1052"/>
    </w:p>
    <w:p>
      <w:pPr>
        <w:spacing w:before="0" w:after="120" w:line="276" w:lineRule="auto"/>
        <w:jc w:val="both"/>
      </w:pPr>
      <w:r>
        <w:rPr>
          <w:rFonts w:ascii="Times New Roman" w:hAnsi="Times New Roman" w:cs="Times New Roman" w:eastAsia="Times New Roman"/>
          <w:sz w:val="24"/>
          <w:szCs w:val="24"/>
        </w:rPr>
        <w:t xml:space="preserve">A </w:t>
      </w:r>
      <w:r>
        <w:rPr>
          <w:rFonts w:ascii="Times New Roman" w:hAnsi="Times New Roman" w:cs="Times New Roman" w:eastAsia="Times New Roman"/>
          <w:i/>
          <w:iCs/>
          <w:sz w:val="24"/>
          <w:szCs w:val="24"/>
        </w:rPr>
        <w:t xml:space="preserve">case notion</w:t>
      </w:r>
      <w:r>
        <w:rPr>
          <w:rFonts w:ascii="Times New Roman" w:hAnsi="Times New Roman" w:cs="Times New Roman" w:eastAsia="Times New Roman"/>
          <w:sz w:val="24"/>
          <w:szCs w:val="24"/>
        </w:rPr>
        <w:t xml:space="preserve"> is an object type we choose as the case. Flattening on type </w:t>
      </w:r>
      <w:r>
        <w:rPr>
          <w:rFonts w:ascii="Times New Roman" w:hAnsi="Times New Roman" w:cs="Times New Roman" w:eastAsia="Times New Roman"/>
          <w:i/>
          <w:iCs/>
          <w:sz w:val="24"/>
          <w:szCs w:val="24"/>
        </w:rPr>
        <w:t xml:space="preserve">T</w:t>
      </w:r>
      <w:r>
        <w:rPr>
          <w:rFonts w:ascii="Times New Roman" w:hAnsi="Times New Roman" w:cs="Times New Roman" w:eastAsia="Times New Roman"/>
          <w:sz w:val="24"/>
          <w:szCs w:val="24"/>
        </w:rPr>
        <w:t xml:space="preserve"> gives one row for every distinct pair of an event and a T-object, the same as the flattening function in </w:t>
      </w:r>
      <w:r>
        <w:rPr>
          <w:rFonts w:ascii="Courier New" w:hAnsi="Courier New" w:cs="Courier New" w:eastAsia="Courier New"/>
          <w:sz w:val="22"/>
          <w:szCs w:val="22"/>
        </w:rPr>
        <w:t xml:space="preserve">pm4py</w:t>
      </w:r>
      <w:r>
        <w:rPr>
          <w:rFonts w:ascii="Times New Roman" w:hAnsi="Times New Roman" w:cs="Times New Roman" w:eastAsia="Times New Roman"/>
          <w:sz w:val="24"/>
          <w:szCs w:val="24"/>
        </w:rPr>
        <w:t xml:space="preserve">. Events with several T-objects get repeated, events with none get dropped, and only event-level attributes survive. A case notion counts as </w:t>
      </w:r>
      <w:r>
        <w:rPr>
          <w:rFonts w:ascii="Times New Roman" w:hAnsi="Times New Roman" w:cs="Times New Roman" w:eastAsia="Times New Roman"/>
          <w:i/>
          <w:iCs/>
          <w:sz w:val="24"/>
          <w:szCs w:val="24"/>
        </w:rPr>
        <w:t xml:space="preserve">analysed</w:t>
      </w:r>
      <w:r>
        <w:rPr>
          <w:rFonts w:ascii="Times New Roman" w:hAnsi="Times New Roman" w:cs="Times New Roman" w:eastAsia="Times New Roman"/>
          <w:sz w:val="24"/>
          <w:szCs w:val="24"/>
        </w:rPr>
        <w:t xml:space="preserve"> when it covers at least 1,000 events, which leaves 38 case notions over the seven logs. Table 5.2 defines the metrics.</w:t>
      </w:r>
    </w:p>
    <w:p>
      <w:pPr>
        <w:keepNext/>
        <w:spacing w:before="160" w:after="80" w:line="240" w:lineRule="auto"/>
        <w:jc w:val="center"/>
      </w:pPr>
      <w:bookmarkStart w:id="1053" w:name="_Tab_5_2"/>
      <w:r>
        <w:rPr>
          <w:rFonts w:ascii="Times New Roman" w:hAnsi="Times New Roman" w:cs="Times New Roman" w:eastAsia="Times New Roman"/>
          <w:b/>
          <w:bCs/>
          <w:sz w:val="20"/>
          <w:szCs w:val="20"/>
        </w:rPr>
        <w:t xml:space="preserve">Table 5.2: </w:t>
      </w:r>
      <w:r>
        <w:rPr>
          <w:rFonts w:ascii="Times New Roman" w:hAnsi="Times New Roman" w:cs="Times New Roman" w:eastAsia="Times New Roman"/>
          <w:sz w:val="20"/>
          <w:szCs w:val="20"/>
        </w:rPr>
        <w:t xml:space="preserve">Distortion metrics for a case notion T</w:t>
      </w:r>
      <w:bookmarkEnd w:id="1053"/>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917"/>
        <w:gridCol w:w="4345"/>
        <w:gridCol w:w="2811"/>
      </w:tblGrid>
      <w:tr>
        <w:trPr>
          <w:cantSplit/>
          <w:tblHeader/>
        </w:trPr>
        <w:tc>
          <w:tcPr>
            <w:tcW w:w="1917"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Metric</w:t>
            </w:r>
          </w:p>
        </w:tc>
        <w:tc>
          <w:tcPr>
            <w:tcW w:w="434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Definition</w:t>
            </w:r>
          </w:p>
        </w:tc>
        <w:tc>
          <w:tcPr>
            <w:tcW w:w="281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How to read it</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Deficiency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events with no T-object</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 flat view drops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Convergence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covered events related to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copied into several cases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Copies per event</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Flat rows divided by covered events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Inflation of event counts (1.0 means none)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Divergence share</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Share of (case, activity) pairs with two or more events whose other-object sets differ</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Repeated events that really belong to different things</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Nested child</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Another type U whose objects are almost exclusive to one case (95% or more), have their own lifecycle (two or more events) and a fan-out of at least 1.5 per case</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Items of an order, for example</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Cross-instance adjacency</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Among directly-follows pairs in cases with two or more nested children, the share whose two events concern disjoint children</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Events adjacent in the flat log but unrelated in the data</w:t>
            </w:r>
          </w:p>
        </w:tc>
      </w:tr>
      <w:tr>
        <w:trPr>
          <w:cantSplit/>
        </w:trPr>
        <w:tc>
          <w:tcPr>
            <w:tcW w:w="1917" w:type="dxa"/>
            <w:vAlign w:val="center"/>
          </w:tcPr>
          <w:p>
            <w:pPr>
              <w:keepNext/>
              <w:spacing w:before="0" w:after="0" w:line="240" w:lineRule="auto"/>
              <w:jc w:val="left"/>
            </w:pPr>
            <w:r>
              <w:rPr>
                <w:rFonts w:ascii="Times New Roman" w:hAnsi="Times New Roman" w:cs="Times New Roman" w:eastAsia="Times New Roman"/>
                <w:sz w:val="18"/>
                <w:szCs w:val="18"/>
              </w:rPr>
              <w:t xml:space="preserve">Coupling</w:t>
            </w:r>
          </w:p>
        </w:tc>
        <w:tc>
          <w:tcPr>
            <w:tcW w:w="4345" w:type="dxa"/>
            <w:vAlign w:val="center"/>
          </w:tcPr>
          <w:p>
            <w:pPr>
              <w:keepNext/>
              <w:spacing w:before="0" w:after="0" w:line="240" w:lineRule="auto"/>
              <w:jc w:val="left"/>
            </w:pPr>
            <w:r>
              <w:rPr>
                <w:rFonts w:ascii="Times New Roman" w:hAnsi="Times New Roman" w:cs="Times New Roman" w:eastAsia="Times New Roman"/>
                <w:sz w:val="18"/>
                <w:szCs w:val="18"/>
              </w:rPr>
              <w:t xml:space="preserve">For an ordered pair of types (T, U), the share of U-objects that touch two or more T-objects</w:t>
            </w:r>
          </w:p>
        </w:tc>
        <w:tc>
          <w:tcPr>
            <w:tcW w:w="2811" w:type="dxa"/>
            <w:vAlign w:val="center"/>
          </w:tcPr>
          <w:p>
            <w:pPr>
              <w:keepNext/>
              <w:spacing w:before="0" w:after="0" w:line="240" w:lineRule="auto"/>
              <w:jc w:val="left"/>
            </w:pPr>
            <w:r>
              <w:rPr>
                <w:rFonts w:ascii="Times New Roman" w:hAnsi="Times New Roman" w:cs="Times New Roman" w:eastAsia="Times New Roman"/>
                <w:sz w:val="18"/>
                <w:szCs w:val="18"/>
              </w:rPr>
              <w:t xml:space="preserve">How much the cases share objects</w:t>
            </w:r>
          </w:p>
        </w:tc>
      </w:tr>
      <w:tr>
        <w:trPr>
          <w:cantSplit/>
        </w:trPr>
        <w:tc>
          <w:tcPr>
            <w:tcW w:w="1917" w:type="dxa"/>
            <w:vAlign w:val="center"/>
          </w:tcPr>
          <w:p>
            <w:pPr>
              <w:spacing w:before="0" w:after="0" w:line="240" w:lineRule="auto"/>
              <w:jc w:val="left"/>
            </w:pPr>
            <w:r>
              <w:rPr>
                <w:rFonts w:ascii="Times New Roman" w:hAnsi="Times New Roman" w:cs="Times New Roman" w:eastAsia="Times New Roman"/>
                <w:sz w:val="18"/>
                <w:szCs w:val="18"/>
              </w:rPr>
              <w:t xml:space="preserve">Variants per case</w:t>
            </w:r>
          </w:p>
        </w:tc>
        <w:tc>
          <w:tcPr>
            <w:tcW w:w="4345" w:type="dxa"/>
            <w:vAlign w:val="center"/>
          </w:tcPr>
          <w:p>
            <w:pPr>
              <w:spacing w:before="0" w:after="0" w:line="240" w:lineRule="auto"/>
              <w:jc w:val="left"/>
            </w:pPr>
            <w:r>
              <w:rPr>
                <w:rFonts w:ascii="Times New Roman" w:hAnsi="Times New Roman" w:cs="Times New Roman" w:eastAsia="Times New Roman"/>
                <w:sz w:val="18"/>
                <w:szCs w:val="18"/>
              </w:rPr>
              <w:t xml:space="preserve">Distinct activity sequences divided by cases</w:t>
            </w:r>
          </w:p>
        </w:tc>
        <w:tc>
          <w:tcPr>
            <w:tcW w:w="2811" w:type="dxa"/>
            <w:vAlign w:val="center"/>
          </w:tcPr>
          <w:p>
            <w:pPr>
              <w:spacing w:before="0" w:after="0" w:line="240" w:lineRule="auto"/>
              <w:jc w:val="left"/>
            </w:pPr>
            <w:r>
              <w:rPr>
                <w:rFonts w:ascii="Times New Roman" w:hAnsi="Times New Roman" w:cs="Times New Roman" w:eastAsia="Times New Roman"/>
                <w:sz w:val="18"/>
                <w:szCs w:val="18"/>
              </w:rPr>
              <w:t xml:space="preserve">How scattered the flat behaviour looks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thresholds (95% exclusivity, fan-out of 1.5, 1,000 events) are our own choices. They sit at the top of </w:t>
      </w:r>
      <w:r>
        <w:rPr>
          <w:rFonts w:ascii="Courier New" w:hAnsi="Courier New" w:cs="Courier New" w:eastAsia="Courier New"/>
          <w:sz w:val="22"/>
          <w:szCs w:val="22"/>
        </w:rPr>
        <w:t xml:space="preserve">distortion.py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consequence.py</w:t>
      </w:r>
      <w:r>
        <w:rPr>
          <w:rFonts w:ascii="Times New Roman" w:hAnsi="Times New Roman" w:cs="Times New Roman" w:eastAsia="Times New Roman"/>
          <w:sz w:val="24"/>
          <w:szCs w:val="24"/>
        </w:rPr>
        <w:t xml:space="preserve">, and we didn't tune any of them to improve a result.</w:t>
      </w:r>
    </w:p>
    <w:p>
      <w:pPr>
        <w:keepNext/>
        <w:spacing w:before="140" w:after="80" w:line="276" w:lineRule="auto"/>
        <w:outlineLvl w:val="2"/>
      </w:pPr>
      <w:bookmarkStart w:id="1054" w:name="_Toc_5_1_4"/>
      <w:r>
        <w:rPr>
          <w:rFonts w:ascii="Times New Roman" w:hAnsi="Times New Roman" w:cs="Times New Roman" w:eastAsia="Times New Roman"/>
          <w:b/>
          <w:bCs/>
          <w:i/>
          <w:iCs/>
          <w:sz w:val="24"/>
          <w:szCs w:val="24"/>
        </w:rPr>
        <w:t xml:space="preserve">5.1.4  M4: Consequence Analysis</w:t>
      </w:r>
      <w:bookmarkEnd w:id="1054"/>
    </w:p>
    <w:p>
      <w:pPr>
        <w:spacing w:before="0" w:after="120" w:line="276" w:lineRule="auto"/>
        <w:jc w:val="both"/>
      </w:pPr>
      <w:r>
        <w:rPr>
          <w:rFonts w:ascii="Times New Roman" w:hAnsi="Times New Roman" w:cs="Times New Roman" w:eastAsia="Times New Roman"/>
          <w:sz w:val="24"/>
          <w:szCs w:val="24"/>
        </w:rPr>
        <w:t xml:space="preserve">Distortion metrics tell us how much a flat view differs. The consequence analysis asks what an analyst would read differently. The reference is the object-centric view: every event counted once, plus the object-centric directly-follows relation, which is the union of consecutive-event pairs over the lifecycle of every object of every type. For each case notion we compare four outputs against that reference.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C1, activity ranking: Spearman rank correlation of the flat activity counts with (a) the counts of the whole process, each event once, and (b) the counts of the same covered events each counted once, which isolates the effect of duplication. We also report the share of activities visible at all.</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C2, directly-follows edges: duplication of event pairs (flat pairs divided by distinct pairs), rank agreement of edge frequencies with and without duplicates, the largest inflation among the ten most frequent reference edges, and, when nested children exist, the share of flat edge instances whose edge type never occurs inside any child (the spurious edge mass).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C3, variants: distinct activity sequences, variants per case, and the share of cases covered by the ten most frequent variants.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C4, entity ranking: for every other object type with at least 30 objects, the rank correlation between the true number of events per object and the row count that a denormalised flat export of T would give, over the objects that appear in the export at all.</w:t>
      </w:r>
    </w:p>
    <w:p>
      <w:pPr>
        <w:spacing w:before="0" w:after="120" w:line="276" w:lineRule="auto"/>
        <w:jc w:val="both"/>
      </w:pPr>
      <w:r>
        <w:rPr>
          <w:rFonts w:ascii="Times New Roman" w:hAnsi="Times New Roman" w:cs="Times New Roman" w:eastAsia="Times New Roman"/>
          <w:sz w:val="24"/>
          <w:szCs w:val="24"/>
        </w:rPr>
        <w:t xml:space="preserve">Two details matter for fairness. Events are coded by sorted event identifier, so ties in time always break the same way. And the analysis keeps </w:t>
      </w:r>
      <w:r>
        <w:rPr>
          <w:rFonts w:ascii="Times New Roman" w:hAnsi="Times New Roman" w:cs="Times New Roman" w:eastAsia="Times New Roman"/>
          <w:i/>
          <w:iCs/>
          <w:sz w:val="24"/>
          <w:szCs w:val="24"/>
        </w:rPr>
        <w:t xml:space="preserve">duplication</w:t>
      </w:r>
      <w:r>
        <w:rPr>
          <w:rFonts w:ascii="Times New Roman" w:hAnsi="Times New Roman" w:cs="Times New Roman" w:eastAsia="Times New Roman"/>
          <w:sz w:val="24"/>
          <w:szCs w:val="24"/>
        </w:rPr>
        <w:t xml:space="preserve"> (the same event counted several times) apart from </w:t>
      </w:r>
      <w:r>
        <w:rPr>
          <w:rFonts w:ascii="Times New Roman" w:hAnsi="Times New Roman" w:cs="Times New Roman" w:eastAsia="Times New Roman"/>
          <w:i/>
          <w:iCs/>
          <w:sz w:val="24"/>
          <w:szCs w:val="24"/>
        </w:rPr>
        <w:t xml:space="preserve">narrowing</w:t>
      </w:r>
      <w:r>
        <w:rPr>
          <w:rFonts w:ascii="Times New Roman" w:hAnsi="Times New Roman" w:cs="Times New Roman" w:eastAsia="Times New Roman"/>
          <w:sz w:val="24"/>
          <w:szCs w:val="24"/>
        </w:rPr>
        <w:t xml:space="preserve"> (events or activities a case notion never sees). An analyst can undo the first by de-duplicating on the event identifier. Nobody can recover the second from a flat log.</w:t>
      </w:r>
    </w:p>
    <w:p>
      <w:pPr>
        <w:keepNext/>
        <w:spacing w:before="140" w:after="80" w:line="276" w:lineRule="auto"/>
        <w:outlineLvl w:val="2"/>
      </w:pPr>
      <w:bookmarkStart w:id="1055" w:name="_Toc_5_1_5"/>
      <w:r>
        <w:rPr>
          <w:rFonts w:ascii="Times New Roman" w:hAnsi="Times New Roman" w:cs="Times New Roman" w:eastAsia="Times New Roman"/>
          <w:b/>
          <w:bCs/>
          <w:i/>
          <w:iCs/>
          <w:sz w:val="24"/>
          <w:szCs w:val="24"/>
        </w:rPr>
        <w:t xml:space="preserve">5.1.5  M5: Predicate Engine (Appendix-Level)</w:t>
      </w:r>
      <w:bookmarkEnd w:id="1055"/>
    </w:p>
    <w:p>
      <w:pPr>
        <w:spacing w:before="0" w:after="120" w:line="276" w:lineRule="auto"/>
        <w:jc w:val="both"/>
      </w:pPr>
      <w:r>
        <w:rPr>
          <w:rFonts w:ascii="Times New Roman" w:hAnsi="Times New Roman" w:cs="Times New Roman" w:eastAsia="Times New Roman"/>
          <w:sz w:val="24"/>
          <w:szCs w:val="24"/>
        </w:rPr>
        <w:t xml:space="preserve">We keep a rule-based engine from earlier work, </w:t>
      </w:r>
      <w:r>
        <w:rPr>
          <w:rFonts w:ascii="Courier New" w:hAnsi="Courier New" w:cs="Courier New" w:eastAsia="Courier New"/>
          <w:sz w:val="22"/>
          <w:szCs w:val="22"/>
        </w:rPr>
        <w:t xml:space="preserve">cooc.py</w:t>
      </w:r>
      <w:r>
        <w:rPr>
          <w:rFonts w:ascii="Times New Roman" w:hAnsi="Times New Roman" w:cs="Times New Roman" w:eastAsia="Times New Roman"/>
          <w:sz w:val="24"/>
          <w:szCs w:val="24"/>
        </w:rPr>
        <w:t xml:space="preserve"> with </w:t>
      </w:r>
      <w:r>
        <w:rPr>
          <w:rFonts w:ascii="Courier New" w:hAnsi="Courier New" w:cs="Courier New" w:eastAsia="Courier New"/>
          <w:sz w:val="22"/>
          <w:szCs w:val="22"/>
        </w:rPr>
        <w:t xml:space="preserve">registry.py</w:t>
      </w:r>
      <w:r>
        <w:rPr>
          <w:rFonts w:ascii="Times New Roman" w:hAnsi="Times New Roman" w:cs="Times New Roman" w:eastAsia="Times New Roman"/>
          <w:sz w:val="24"/>
          <w:szCs w:val="24"/>
        </w:rPr>
        <w:t xml:space="preserve">. It evaluates eleven natural rules (for example, a change is merged only after an approval vote, or no submission after the assessment deadline) on native, flat and denormalised-flat views of CROP and OULAD. Two logs and eleven rules are too few to conclude anything, so it stays out of the main results.</w:t>
      </w:r>
    </w:p>
    <w:p>
      <w:pPr>
        <w:keepNext/>
        <w:spacing w:before="140" w:after="80" w:line="276" w:lineRule="auto"/>
        <w:outlineLvl w:val="2"/>
      </w:pPr>
      <w:bookmarkStart w:id="1056" w:name="_Toc_5_1_6"/>
      <w:r>
        <w:rPr>
          <w:rFonts w:ascii="Times New Roman" w:hAnsi="Times New Roman" w:cs="Times New Roman" w:eastAsia="Times New Roman"/>
          <w:b/>
          <w:bCs/>
          <w:i/>
          <w:iCs/>
          <w:sz w:val="24"/>
          <w:szCs w:val="24"/>
        </w:rPr>
        <w:t xml:space="preserve">5.1.6  M6: Validation</w:t>
      </w:r>
      <w:bookmarkEnd w:id="1056"/>
    </w:p>
    <w:p>
      <w:pPr>
        <w:spacing w:before="0" w:after="120" w:line="276" w:lineRule="auto"/>
        <w:jc w:val="both"/>
      </w:pPr>
      <w:r>
        <w:rPr>
          <w:rFonts w:ascii="Courier New" w:hAnsi="Courier New" w:cs="Courier New" w:eastAsia="Courier New"/>
          <w:sz w:val="22"/>
          <w:szCs w:val="22"/>
        </w:rPr>
        <w:t xml:space="preserve">sql_crosscheck.py</w:t>
      </w:r>
      <w:r>
        <w:rPr>
          <w:rFonts w:ascii="Times New Roman" w:hAnsi="Times New Roman" w:cs="Times New Roman" w:eastAsia="Times New Roman"/>
          <w:sz w:val="24"/>
          <w:szCs w:val="24"/>
        </w:rPr>
        <w:t xml:space="preserve"> re-implements four CROP rules in plain SQL on the OCEL SQLite file, opened read-only. </w:t>
      </w:r>
      <w:r>
        <w:rPr>
          <w:rFonts w:ascii="Courier New" w:hAnsi="Courier New" w:cs="Courier New" w:eastAsia="Courier New"/>
          <w:sz w:val="22"/>
          <w:szCs w:val="22"/>
        </w:rPr>
        <w:t xml:space="preserve">check_consequence.py</w:t>
      </w:r>
      <w:r>
        <w:rPr>
          <w:rFonts w:ascii="Times New Roman" w:hAnsi="Times New Roman" w:cs="Times New Roman" w:eastAsia="Times New Roman"/>
          <w:sz w:val="24"/>
          <w:szCs w:val="24"/>
        </w:rPr>
        <w:t xml:space="preserve"> compares the fast consequence code with a slow plain-Python version on a real slice of the Enron log. And the OULAD counts get an independent recomputation from the raw CSV files. Section 5.2 has the results.</w:t>
      </w:r>
    </w:p>
    <w:p>
      <w:pPr>
        <w:keepNext/>
        <w:spacing w:before="140" w:after="80" w:line="276" w:lineRule="auto"/>
        <w:outlineLvl w:val="2"/>
      </w:pPr>
      <w:bookmarkStart w:id="1057" w:name="_Toc_5_1_7"/>
      <w:r>
        <w:rPr>
          <w:rFonts w:ascii="Times New Roman" w:hAnsi="Times New Roman" w:cs="Times New Roman" w:eastAsia="Times New Roman"/>
          <w:b/>
          <w:bCs/>
          <w:i/>
          <w:iCs/>
          <w:sz w:val="24"/>
          <w:szCs w:val="24"/>
        </w:rPr>
        <w:t xml:space="preserve">5.1.7  M7: Summaries</w:t>
      </w:r>
      <w:bookmarkEnd w:id="1057"/>
    </w:p>
    <w:p>
      <w:pPr>
        <w:spacing w:before="0" w:after="120" w:line="276" w:lineRule="auto"/>
        <w:jc w:val="left"/>
      </w:pPr>
      <w:r>
        <w:rPr>
          <w:rFonts w:ascii="Courier New" w:hAnsi="Courier New" w:cs="Courier New" w:eastAsia="Courier New"/>
          <w:sz w:val="22"/>
          <w:szCs w:val="22"/>
        </w:rPr>
        <w:t xml:space="preserve">summarize_distortion.py</w:t>
      </w:r>
      <w:r>
        <w:rPr>
          <w:rFonts w:ascii="Times New Roman" w:hAnsi="Times New Roman" w:cs="Times New Roman" w:eastAsia="Times New Roman"/>
          <w:sz w:val="24"/>
          <w:szCs w:val="24"/>
        </w:rPr>
        <w:t xml:space="preserve">, </w:t>
      </w:r>
      <w:r>
        <w:rPr>
          <w:rFonts w:ascii="Courier New" w:hAnsi="Courier New" w:cs="Courier New" w:eastAsia="Courier New"/>
          <w:sz w:val="22"/>
          <w:szCs w:val="22"/>
        </w:rPr>
        <w:t xml:space="preserve">summarize_log_level.py</w:t>
      </w:r>
      <w:r>
        <w:rPr>
          <w:rFonts w:ascii="Times New Roman" w:hAnsi="Times New Roman" w:cs="Times New Roman" w:eastAsia="Times New Roman"/>
          <w:sz w:val="24"/>
          <w:szCs w:val="24"/>
        </w:rPr>
        <w:t xml:space="preserve"> and </w:t>
      </w:r>
      <w:r>
        <w:rPr>
          <w:rFonts w:ascii="Courier New" w:hAnsi="Courier New" w:cs="Courier New" w:eastAsia="Courier New"/>
          <w:sz w:val="22"/>
          <w:szCs w:val="22"/>
        </w:rPr>
        <w:t xml:space="preserve">summarize_consequence.py</w:t>
      </w:r>
      <w:r>
        <w:rPr>
          <w:rFonts w:ascii="Times New Roman" w:hAnsi="Times New Roman" w:cs="Times New Roman" w:eastAsia="Times New Roman"/>
          <w:sz w:val="24"/>
          <w:szCs w:val="24"/>
        </w:rPr>
        <w:t xml:space="preserve"> combine the per-log JSON files into the CSV and Markdown tables used in Chapter 7, and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runs the whole sequence.</w:t>
      </w:r>
    </w:p>
    <w:p>
      <w:pPr>
        <w:keepNext/>
        <w:spacing w:before="200" w:after="100" w:line="276" w:lineRule="auto"/>
        <w:outlineLvl w:val="1"/>
      </w:pPr>
      <w:bookmarkStart w:id="1058" w:name="_Toc_5_2"/>
      <w:r>
        <w:rPr>
          <w:rFonts w:ascii="Times New Roman" w:hAnsi="Times New Roman" w:cs="Times New Roman" w:eastAsia="Times New Roman"/>
          <w:b/>
          <w:bCs/>
          <w:sz w:val="24"/>
          <w:szCs w:val="24"/>
        </w:rPr>
        <w:t xml:space="preserve">5.2  Testing</w:t>
      </w:r>
      <w:bookmarkEnd w:id="1058"/>
    </w:p>
    <w:p>
      <w:pPr>
        <w:spacing w:before="0" w:after="120" w:line="276" w:lineRule="auto"/>
        <w:jc w:val="both"/>
      </w:pPr>
      <w:r>
        <w:rPr>
          <w:rFonts w:ascii="Times New Roman" w:hAnsi="Times New Roman" w:cs="Times New Roman" w:eastAsia="Times New Roman"/>
          <w:sz w:val="24"/>
          <w:szCs w:val="24"/>
        </w:rPr>
        <w:t xml:space="preserve">We tested the project the way we'd test someone else's work. Table 5.3 lists each check, what it proves and what we found.</w:t>
      </w:r>
    </w:p>
    <w:p>
      <w:pPr>
        <w:keepNext/>
        <w:spacing w:before="160" w:after="80" w:line="240" w:lineRule="auto"/>
        <w:jc w:val="center"/>
      </w:pPr>
      <w:bookmarkStart w:id="1059" w:name="_Tab_5_3"/>
      <w:r>
        <w:rPr>
          <w:rFonts w:ascii="Times New Roman" w:hAnsi="Times New Roman" w:cs="Times New Roman" w:eastAsia="Times New Roman"/>
          <w:b/>
          <w:bCs/>
          <w:sz w:val="20"/>
          <w:szCs w:val="20"/>
        </w:rPr>
        <w:t xml:space="preserve">Table 5.3: </w:t>
      </w:r>
      <w:r>
        <w:rPr>
          <w:rFonts w:ascii="Times New Roman" w:hAnsi="Times New Roman" w:cs="Times New Roman" w:eastAsia="Times New Roman"/>
          <w:sz w:val="20"/>
          <w:szCs w:val="20"/>
        </w:rPr>
        <w:t xml:space="preserve">Verification checks</w:t>
      </w:r>
      <w:bookmarkEnd w:id="1059"/>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3"/>
        <w:gridCol w:w="2981"/>
        <w:gridCol w:w="3889"/>
      </w:tblGrid>
      <w:tr>
        <w:trPr>
          <w:cantSplit/>
          <w:tblHeader/>
        </w:trPr>
        <w:tc>
          <w:tcPr>
            <w:tcW w:w="22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Check</w:t>
            </w:r>
          </w:p>
        </w:tc>
        <w:tc>
          <w:tcPr>
            <w:tcW w:w="2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it proves</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Result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Download integrity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Zenodo files match the published size and MD5</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Verified for the Zenodo sources; SHA-256 recorded for every file, including OULAD</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Reproducibility</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Re-running gives the same outputs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Tracked result files were byte-identical after a re-run (checked with Git)</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SQL cross-check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predicate code matches independent SQL</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4 of 4 CROP rules match exactly: 522, 19,109, 164 and 423 flagged changes</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Brute-force self-check</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The fast consequence code equals plain Python</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Directly-follows pairs identical on 4 case notions; entity ranking identical</w:t>
            </w:r>
          </w:p>
        </w:tc>
      </w:tr>
      <w:tr>
        <w:trPr>
          <w:cantSplit/>
        </w:trPr>
        <w:tc>
          <w:tcPr>
            <w:tcW w:w="2203" w:type="dxa"/>
            <w:vAlign w:val="center"/>
          </w:tcPr>
          <w:p>
            <w:pPr>
              <w:keepNext/>
              <w:spacing w:before="0" w:after="0" w:line="240" w:lineRule="auto"/>
              <w:jc w:val="left"/>
            </w:pPr>
            <w:r>
              <w:rPr>
                <w:rFonts w:ascii="Times New Roman" w:hAnsi="Times New Roman" w:cs="Times New Roman" w:eastAsia="Times New Roman"/>
                <w:sz w:val="18"/>
                <w:szCs w:val="18"/>
              </w:rPr>
              <w:t xml:space="preserve">Independent recomputation</w:t>
            </w:r>
          </w:p>
        </w:tc>
        <w:tc>
          <w:tcPr>
            <w:tcW w:w="2981" w:type="dxa"/>
            <w:vAlign w:val="center"/>
          </w:tcPr>
          <w:p>
            <w:pPr>
              <w:keepNext/>
              <w:spacing w:before="0" w:after="0" w:line="240" w:lineRule="auto"/>
              <w:jc w:val="left"/>
            </w:pPr>
            <w:r>
              <w:rPr>
                <w:rFonts w:ascii="Times New Roman" w:hAnsi="Times New Roman" w:cs="Times New Roman" w:eastAsia="Times New Roman"/>
                <w:sz w:val="18"/>
                <w:szCs w:val="18"/>
              </w:rPr>
              <w:t xml:space="preserve">OULAD counts match the raw CSV files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15,348 enrolments with a late submission, 415 submissions after unregistration, 29 flagged by the stage-order rule: all exact</w:t>
            </w:r>
          </w:p>
        </w:tc>
      </w:tr>
      <w:tr>
        <w:trPr>
          <w:cantSplit/>
        </w:trPr>
        <w:tc>
          <w:tcPr>
            <w:tcW w:w="2203" w:type="dxa"/>
            <w:vAlign w:val="center"/>
          </w:tcPr>
          <w:p>
            <w:pPr>
              <w:spacing w:before="0" w:after="0" w:line="240" w:lineRule="auto"/>
              <w:jc w:val="left"/>
            </w:pPr>
            <w:r>
              <w:rPr>
                <w:rFonts w:ascii="Times New Roman" w:hAnsi="Times New Roman" w:cs="Times New Roman" w:eastAsia="Times New Roman"/>
                <w:sz w:val="18"/>
                <w:szCs w:val="18"/>
              </w:rPr>
              <w:t xml:space="preserve">Bugs found by our own checks</w:t>
            </w:r>
          </w:p>
        </w:tc>
        <w:tc>
          <w:tcPr>
            <w:tcW w:w="2981" w:type="dxa"/>
            <w:vAlign w:val="center"/>
          </w:tcPr>
          <w:p>
            <w:pPr>
              <w:spacing w:before="0" w:after="0" w:line="240" w:lineRule="auto"/>
              <w:jc w:val="left"/>
            </w:pPr>
            <w:r>
              <w:rPr>
                <w:rFonts w:ascii="Times New Roman" w:hAnsi="Times New Roman" w:cs="Times New Roman" w:eastAsia="Times New Roman"/>
                <w:sz w:val="18"/>
                <w:szCs w:val="18"/>
              </w:rPr>
              <w:t xml:space="preserve">Verification is not a formality</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Three bugs found and fixed (see below)</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checks caught three bugs of our own, and we fixed all three before producing the results in this report.</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Duplicate events: the CROP converter wrote duplicate event rows, about 17% of them. They are removed.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missed abandon form: the converter didn't recognise one phrasing of the Gerrit abandon message ("Patch Set N: Abandoned"). It does now.</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Tie-breaking: events with the same timestamp could be ordered differently in two code paths. Events are now ordered by timestamp and then by event identifier.</w:t>
      </w:r>
    </w:p>
    <w:p>
      <w:pPr>
        <w:spacing w:before="0" w:after="120" w:line="276" w:lineRule="auto"/>
        <w:jc w:val="both"/>
      </w:pPr>
      <w:r>
        <w:rPr>
          <w:rFonts w:ascii="Times New Roman" w:hAnsi="Times New Roman" w:cs="Times New Roman" w:eastAsia="Times New Roman"/>
          <w:sz w:val="24"/>
          <w:szCs w:val="24"/>
        </w:rPr>
        <w:t xml:space="preserve">Now the part we didn't do. Nobody outside the team labelled the findings. We reviewed a stratified sample of classified CROP comments by hand and found no further misclassification, but the reviewer was one of us, so it isn't an independent label set. The converters are checked by us, not by a second team, and the SQL cross-check tests the predicate code, not the CROP converter. And the distortion metrics and the activity-ranking numbers have no second implementation yet.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6</w:t>
      </w:r>
    </w:p>
    <w:p>
      <w:pPr>
        <w:keepNext/>
        <w:spacing w:before="0" w:after="240" w:line="276" w:lineRule="auto"/>
        <w:jc w:val="center"/>
        <w:outlineLvl w:val="0"/>
      </w:pPr>
      <w:bookmarkStart w:id="1060" w:name="_Toc_ch6"/>
      <w:r>
        <w:rPr>
          <w:rFonts w:ascii="Times New Roman" w:hAnsi="Times New Roman" w:cs="Times New Roman" w:eastAsia="Times New Roman"/>
          <w:b/>
          <w:bCs/>
          <w:sz w:val="28"/>
          <w:szCs w:val="28"/>
        </w:rPr>
        <w:t xml:space="preserve">PROJECT DEMONSTRATION</w:t>
      </w:r>
      <w:bookmarkEnd w:id="1060"/>
    </w:p>
    <w:p>
      <w:pPr>
        <w:spacing w:before="0" w:after="120" w:line="276" w:lineRule="auto"/>
        <w:jc w:val="both"/>
      </w:pPr>
      <w:r>
        <w:rPr>
          <w:rFonts w:ascii="Times New Roman" w:hAnsi="Times New Roman" w:cs="Times New Roman" w:eastAsia="Times New Roman"/>
          <w:sz w:val="24"/>
          <w:szCs w:val="24"/>
        </w:rPr>
        <w:t xml:space="preserve">The live demonstration runs five commands from the </w:t>
      </w:r>
      <w:r>
        <w:rPr>
          <w:rFonts w:ascii="Courier New" w:hAnsi="Courier New" w:cs="Courier New" w:eastAsia="Courier New"/>
          <w:sz w:val="22"/>
          <w:szCs w:val="22"/>
        </w:rPr>
        <w:t xml:space="preserve">realdata</w:t>
      </w:r>
      <w:r>
        <w:rPr>
          <w:rFonts w:ascii="Times New Roman" w:hAnsi="Times New Roman" w:cs="Times New Roman" w:eastAsia="Times New Roman"/>
          <w:sz w:val="24"/>
          <w:szCs w:val="24"/>
        </w:rPr>
        <w:t xml:space="preserve"> directory. We ran them for this report and saved the output under </w:t>
      </w:r>
      <w:r>
        <w:rPr>
          <w:rFonts w:ascii="Courier New" w:hAnsi="Courier New" w:cs="Courier New" w:eastAsia="Courier New"/>
          <w:sz w:val="22"/>
          <w:szCs w:val="22"/>
        </w:rPr>
        <w:t xml:space="preserve">docs/review-3/demo/</w:t>
      </w:r>
      <w:r>
        <w:rPr>
          <w:rFonts w:ascii="Times New Roman" w:hAnsi="Times New Roman" w:cs="Times New Roman" w:eastAsia="Times New Roman"/>
          <w:sz w:val="24"/>
          <w:szCs w:val="24"/>
        </w:rPr>
        <w:t xml:space="preserve">, so we can show the same text if the network or the laptop misbehaves on the day. Table 6.1 lists the steps and the measured times.</w:t>
      </w:r>
    </w:p>
    <w:p>
      <w:pPr>
        <w:keepNext/>
        <w:spacing w:before="160" w:after="80" w:line="240" w:lineRule="auto"/>
        <w:jc w:val="center"/>
      </w:pPr>
      <w:bookmarkStart w:id="1061" w:name="_Tab_6_1"/>
      <w:r>
        <w:rPr>
          <w:rFonts w:ascii="Times New Roman" w:hAnsi="Times New Roman" w:cs="Times New Roman" w:eastAsia="Times New Roman"/>
          <w:b/>
          <w:bCs/>
          <w:sz w:val="20"/>
          <w:szCs w:val="20"/>
        </w:rPr>
        <w:t xml:space="preserve">Table 6.1: </w:t>
      </w:r>
      <w:r>
        <w:rPr>
          <w:rFonts w:ascii="Times New Roman" w:hAnsi="Times New Roman" w:cs="Times New Roman" w:eastAsia="Times New Roman"/>
          <w:sz w:val="20"/>
          <w:szCs w:val="20"/>
        </w:rPr>
        <w:t xml:space="preserve">Demonstration steps</w:t>
      </w:r>
      <w:bookmarkEnd w:id="1061"/>
    </w:p>
    <w:tbl>
      <w:tblPr>
        <w:tblW w:w="9073"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39"/>
        <w:gridCol w:w="3834"/>
        <w:gridCol w:w="3578"/>
        <w:gridCol w:w="1022"/>
      </w:tblGrid>
      <w:tr>
        <w:trPr>
          <w:cantSplit/>
          <w:tblHeader/>
        </w:trPr>
        <w:tc>
          <w:tcPr>
            <w:tcW w:w="63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Step</w:t>
            </w:r>
          </w:p>
        </w:tc>
        <w:tc>
          <w:tcPr>
            <w:tcW w:w="38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Command</w:t>
            </w:r>
          </w:p>
        </w:tc>
        <w:tc>
          <w:tcPr>
            <w:tcW w:w="357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What the panel sees</w:t>
            </w:r>
          </w:p>
        </w:tc>
        <w:tc>
          <w:tcPr>
            <w:tcW w:w="102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Time</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1</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python3 -I src/fetch_sources.py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All eight sources already present; nothing is downloaded again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0.1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src/check_consequence.py</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Self-check against the plain-Python version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3.7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src/distortion.py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Distortion table for the Enron log</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9.5 s</w:t>
            </w:r>
          </w:p>
        </w:tc>
      </w:tr>
      <w:tr>
        <w:trPr>
          <w:cantSplit/>
        </w:trPr>
        <w:tc>
          <w:tcPr>
            <w:tcW w:w="639"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3834" w:type="dxa"/>
            <w:vAlign w:val="center"/>
          </w:tcPr>
          <w:p>
            <w:pPr>
              <w:keepNext/>
              <w:spacing w:before="0" w:after="0" w:line="240" w:lineRule="auto"/>
              <w:jc w:val="left"/>
            </w:pPr>
            <w:r>
              <w:rPr>
                <w:rFonts w:ascii="Courier New" w:hAnsi="Courier New" w:cs="Courier New" w:eastAsia="Courier New"/>
                <w:sz w:val="16"/>
                <w:szCs w:val="16"/>
              </w:rPr>
              <w:t xml:space="preserve">.venv/bin/python -I src/consequence.py enron</w:t>
            </w:r>
          </w:p>
        </w:tc>
        <w:tc>
          <w:tcPr>
            <w:tcW w:w="3578" w:type="dxa"/>
            <w:vAlign w:val="center"/>
          </w:tcPr>
          <w:p>
            <w:pPr>
              <w:keepNext/>
              <w:spacing w:before="0" w:after="0" w:line="240" w:lineRule="auto"/>
              <w:jc w:val="left"/>
            </w:pPr>
            <w:r>
              <w:rPr>
                <w:rFonts w:ascii="Times New Roman" w:hAnsi="Times New Roman" w:cs="Times New Roman" w:eastAsia="Times New Roman"/>
                <w:sz w:val="18"/>
                <w:szCs w:val="18"/>
              </w:rPr>
              <w:t xml:space="preserve">Rankings, edges, variants and entities for Enron</w:t>
            </w:r>
          </w:p>
        </w:tc>
        <w:tc>
          <w:tcPr>
            <w:tcW w:w="1022" w:type="dxa"/>
            <w:vAlign w:val="center"/>
          </w:tcPr>
          <w:p>
            <w:pPr>
              <w:keepNext/>
              <w:spacing w:before="0" w:after="0" w:line="240" w:lineRule="auto"/>
              <w:jc w:val="center"/>
            </w:pPr>
            <w:r>
              <w:rPr>
                <w:rFonts w:ascii="Times New Roman" w:hAnsi="Times New Roman" w:cs="Times New Roman" w:eastAsia="Times New Roman"/>
                <w:sz w:val="18"/>
                <w:szCs w:val="18"/>
              </w:rPr>
              <w:t xml:space="preserve">4.1 s</w:t>
            </w:r>
          </w:p>
        </w:tc>
      </w:tr>
      <w:tr>
        <w:trPr>
          <w:cantSplit/>
        </w:trPr>
        <w:tc>
          <w:tcPr>
            <w:tcW w:w="639" w:type="dxa"/>
            <w:vAlign w:val="center"/>
          </w:tcPr>
          <w:p>
            <w:pPr>
              <w:spacing w:before="0" w:after="0" w:line="240" w:lineRule="auto"/>
              <w:jc w:val="center"/>
            </w:pPr>
            <w:r>
              <w:rPr>
                <w:rFonts w:ascii="Times New Roman" w:hAnsi="Times New Roman" w:cs="Times New Roman" w:eastAsia="Times New Roman"/>
                <w:sz w:val="18"/>
                <w:szCs w:val="18"/>
              </w:rPr>
              <w:t xml:space="preserve">5</w:t>
            </w:r>
          </w:p>
        </w:tc>
        <w:tc>
          <w:tcPr>
            <w:tcW w:w="3834" w:type="dxa"/>
            <w:vAlign w:val="center"/>
          </w:tcPr>
          <w:p>
            <w:pPr>
              <w:spacing w:before="0" w:after="0" w:line="240" w:lineRule="auto"/>
              <w:jc w:val="left"/>
            </w:pPr>
            <w:r>
              <w:rPr>
                <w:rFonts w:ascii="Courier New" w:hAnsi="Courier New" w:cs="Courier New" w:eastAsia="Courier New"/>
                <w:sz w:val="16"/>
                <w:szCs w:val="16"/>
              </w:rPr>
              <w:t xml:space="preserve">head -4 results/consequence_by_log.md</w:t>
            </w:r>
          </w:p>
        </w:tc>
        <w:tc>
          <w:tcPr>
            <w:tcW w:w="3578" w:type="dxa"/>
            <w:vAlign w:val="center"/>
          </w:tcPr>
          <w:p>
            <w:pPr>
              <w:spacing w:before="0" w:after="0" w:line="240" w:lineRule="auto"/>
              <w:jc w:val="left"/>
            </w:pPr>
            <w:r>
              <w:rPr>
                <w:rFonts w:ascii="Times New Roman" w:hAnsi="Times New Roman" w:cs="Times New Roman" w:eastAsia="Times New Roman"/>
                <w:sz w:val="18"/>
                <w:szCs w:val="18"/>
              </w:rPr>
              <w:t xml:space="preserve">The cross-log summary table</w:t>
            </w:r>
          </w:p>
        </w:tc>
        <w:tc>
          <w:tcPr>
            <w:tcW w:w="1022" w:type="dxa"/>
            <w:vAlign w:val="center"/>
          </w:tcPr>
          <w:p>
            <w:pPr>
              <w:spacing w:before="0" w:after="0" w:line="240" w:lineRule="auto"/>
              <w:jc w:val="center"/>
            </w:pPr>
            <w:r>
              <w:rPr>
                <w:rFonts w:ascii="Times New Roman" w:hAnsi="Times New Roman" w:cs="Times New Roman" w:eastAsia="Times New Roman"/>
                <w:sz w:val="18"/>
                <w:szCs w:val="18"/>
              </w:rPr>
              <w:t xml:space="preserve">instant</w:t>
            </w:r>
          </w:p>
        </w:tc>
      </w:tr>
    </w:tbl>
    <w:p>
      <w:pPr>
        <w:spacing w:before="0" w:after="120" w:line="240" w:lineRule="auto"/>
      </w:pPr>
    </w:p>
    <w:p>
      <w:pPr>
        <w:keepNext/>
        <w:spacing w:before="200" w:after="100" w:line="276" w:lineRule="auto"/>
        <w:outlineLvl w:val="1"/>
      </w:pPr>
      <w:bookmarkStart w:id="1062" w:name="_Toc_6_1"/>
      <w:r>
        <w:rPr>
          <w:rFonts w:ascii="Times New Roman" w:hAnsi="Times New Roman" w:cs="Times New Roman" w:eastAsia="Times New Roman"/>
          <w:b/>
          <w:bCs/>
          <w:sz w:val="24"/>
          <w:szCs w:val="24"/>
        </w:rPr>
        <w:t xml:space="preserve">6.1  Step 1: Check that the data is present</w:t>
      </w:r>
      <w:bookmarkEnd w:id="1062"/>
    </w:p>
    <w:p>
      <w:pPr>
        <w:keepNext/>
        <w:spacing w:before="100" w:after="60" w:line="276" w:lineRule="auto"/>
      </w:pPr>
      <w:r>
        <w:rPr>
          <w:rFonts w:ascii="Times New Roman" w:hAnsi="Times New Roman" w:cs="Times New Roman" w:eastAsia="Times New Roman"/>
          <w:b/>
          <w:bCs/>
          <w:sz w:val="24"/>
          <w:szCs w:val="24"/>
        </w:rPr>
        <w:t xml:space="preserve">Command: python3 -I src/fetch_sources.py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[T1e_angular_commits]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[T2a_oulad]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[T2b_moodle_cadiz]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[T3a_crop]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[T4a_bundestag]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[T4b_enron]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[T4c_ethereum]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[T4d_aoe2] already present, skipping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python3 -I src/fetch_sources.py  0.04s user 0.02s system 58% cpu 0.109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manifest lists eight sources, and all of them are already on disk with a </w:t>
      </w:r>
      <w:r>
        <w:rPr>
          <w:rFonts w:ascii="Courier New" w:hAnsi="Courier New" w:cs="Courier New" w:eastAsia="Courier New"/>
          <w:sz w:val="22"/>
          <w:szCs w:val="22"/>
        </w:rPr>
        <w:t xml:space="preserve">SOURCE.md</w:t>
      </w:r>
      <w:r>
        <w:rPr>
          <w:rFonts w:ascii="Times New Roman" w:hAnsi="Times New Roman" w:cs="Times New Roman" w:eastAsia="Times New Roman"/>
          <w:sz w:val="24"/>
          <w:szCs w:val="24"/>
        </w:rPr>
        <w:t xml:space="preserve">, so the script skips them. On a clean machine the same command downloads about 350 MB.</w:t>
      </w:r>
    </w:p>
    <w:p>
      <w:pPr>
        <w:keepNext/>
        <w:spacing w:before="200" w:after="100" w:line="276" w:lineRule="auto"/>
        <w:outlineLvl w:val="1"/>
      </w:pPr>
      <w:bookmarkStart w:id="1063" w:name="_Toc_6_2"/>
      <w:r>
        <w:rPr>
          <w:rFonts w:ascii="Times New Roman" w:hAnsi="Times New Roman" w:cs="Times New Roman" w:eastAsia="Times New Roman"/>
          <w:b/>
          <w:bCs/>
          <w:sz w:val="24"/>
          <w:szCs w:val="24"/>
        </w:rPr>
        <w:t xml:space="preserve">6.2  Step 2: Run the self-check</w:t>
      </w:r>
      <w:bookmarkEnd w:id="1063"/>
    </w:p>
    <w:p>
      <w:pPr>
        <w:keepNext/>
        <w:spacing w:before="100" w:after="60" w:line="276" w:lineRule="auto"/>
      </w:pPr>
      <w:r>
        <w:rPr>
          <w:rFonts w:ascii="Times New Roman" w:hAnsi="Times New Roman" w:cs="Times New Roman" w:eastAsia="Times New Roman"/>
          <w:b/>
          <w:bCs/>
          <w:sz w:val="24"/>
          <w:szCs w:val="24"/>
        </w:rPr>
        <w:t xml:space="preserve">Command: .venv/bin/python -I src/check_consequence.py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consequence self-check passed: DF pairs identical for 4 case notions; entity ranking</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identical</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src/check_consequence.py  1.70s user 0.41s system 57% cpu 3.664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fast consequence code and a plain-Python version agree on a real Enron slice. The directly-follows pairs are identical for four case notions, and so is the entity ranking.</w:t>
      </w:r>
    </w:p>
    <w:p>
      <w:pPr>
        <w:keepNext/>
        <w:spacing w:before="200" w:after="100" w:line="276" w:lineRule="auto"/>
        <w:outlineLvl w:val="1"/>
      </w:pPr>
      <w:bookmarkStart w:id="1064" w:name="_Toc_6_3"/>
      <w:r>
        <w:rPr>
          <w:rFonts w:ascii="Times New Roman" w:hAnsi="Times New Roman" w:cs="Times New Roman" w:eastAsia="Times New Roman"/>
          <w:b/>
          <w:bCs/>
          <w:sz w:val="24"/>
          <w:szCs w:val="24"/>
        </w:rPr>
        <w:t xml:space="preserve">6.3  Step 3: Distortion of the Enron log</w:t>
      </w:r>
      <w:bookmarkEnd w:id="1064"/>
    </w:p>
    <w:p>
      <w:pPr>
        <w:keepNext/>
        <w:spacing w:before="100" w:after="60" w:line="276" w:lineRule="auto"/>
      </w:pPr>
      <w:r>
        <w:rPr>
          <w:rFonts w:ascii="Times New Roman" w:hAnsi="Times New Roman" w:cs="Times New Roman" w:eastAsia="Times New Roman"/>
          <w:b/>
          <w:bCs/>
          <w:sz w:val="24"/>
          <w:szCs w:val="24"/>
        </w:rPr>
        <w:t xml:space="preserve">Command: .venv/bin/python -I src/distortion.py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e2o/event=3.498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flat[EMAILADDRESS:CC] def=0.778 conv=0.667 copies=  2.114 maxActInfl=  3.286 div=0.769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var/case=0.241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flat[EMAILADDRESS:FROM] def=0.046 conv=0.000 copies=  1.000 maxActInfl=  1.000 div=0.802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var/case=0.2079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flat[EMAILADDRESS:TO] def=0.060 conv=0.334 copies=  1.572 maxActInfl=  2.345 div=0.778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var/case=0.2526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flat[MESSAGEID    ] def=0.401 conv=0.000 copies=  1.000 maxActInfl=  1.000 div=0.715</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var/case=0.0046 kids=[] CAS=None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EMAILADDRESS:CC cases: 0.81 (mean 6.369)</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EMAILADDRESS:FROM objs in &gt;=2 EMAILADDRESS:CC cases: 0.79 (mean 5.277)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EMAILADDRESS:TO cases: 0.75 (mean 5.878)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EMAILADDRESS:TO objs in &gt;=2 MESSAGEID cases: 0.69 (mean 11.962)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MESSAGEID objs in &gt;=2 EMAILADDRESS:CC cases: 0.67 (mean 2.173)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coupling EMAILADDRESS:CC objs in &gt;=2 MESSAGEID cases: 0.66 (mean 7.222)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src/distortion.py enron  9.18s user 0.29s system 99% cpu 9.502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Four case notions get flattened: the three e-mail roles and the message identifier. Take the copied-in recipients as the case (EMAILADDRESS:CC) and 77.8% of the events drop out, while the rest get copied 2.11 times on average. The message identifier drops 40.1% and copies nothing. The coupling lines show how tangled the cases are: 81% of the "to" addresses take part in events that belong to two or more different "cc" cases (6.4 on average).</w:t>
      </w:r>
    </w:p>
    <w:p>
      <w:pPr>
        <w:keepNext/>
        <w:spacing w:before="200" w:after="100" w:line="276" w:lineRule="auto"/>
        <w:outlineLvl w:val="1"/>
      </w:pPr>
      <w:bookmarkStart w:id="1065" w:name="_Toc_6_4"/>
      <w:r>
        <w:rPr>
          <w:rFonts w:ascii="Times New Roman" w:hAnsi="Times New Roman" w:cs="Times New Roman" w:eastAsia="Times New Roman"/>
          <w:b/>
          <w:bCs/>
          <w:sz w:val="24"/>
          <w:szCs w:val="24"/>
        </w:rPr>
        <w:t xml:space="preserve">6.4  Step 4: Consequences for the Enron log</w:t>
      </w:r>
      <w:bookmarkEnd w:id="1065"/>
    </w:p>
    <w:p>
      <w:pPr>
        <w:keepNext/>
        <w:spacing w:before="100" w:after="60" w:line="276" w:lineRule="auto"/>
      </w:pPr>
      <w:r>
        <w:rPr>
          <w:rFonts w:ascii="Times New Roman" w:hAnsi="Times New Roman" w:cs="Times New Roman" w:eastAsia="Times New Roman"/>
          <w:b/>
          <w:bCs/>
          <w:sz w:val="24"/>
          <w:szCs w:val="24"/>
        </w:rPr>
        <w:t xml:space="preserve">Command: .venv/bin/python -I src/consequence.py enron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enron: events=96,175 reference DF pairs=157,258 edge types=48</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EMAILADDRESS:CC            act: visible=0.7778 rho(all)=0.8656 rho(dup)=1.0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dup=1.5675 rho(dup)=0.9844 top10(dup)=9 maxInfl10=0.357 spur=None | var/case=0.241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top10cov=0.5653 | entity rho min/med=0.0832/0.473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EMAILADDRESS:FROM          act: visible=1.0 rho(all)=1.0 rho(dup)=1.0 | DF: dup=1.0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maxInfl10=0.669 spur=None | var/case=0.2079 top10cov=0.623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min/med=0.3863/0.962</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EMAILADDRESS:TO            act: visible=1.0 rho(all)=0.9333 rho(dup)=0.9333 | DF: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dup=1.3065 rho(dup)=0.9792 top10(dup)=9 maxInfl10=1.161 spur=None | var/case=0.2526</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top10cov=0.5419 | entity rho min/med=0.1591/0.887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MESSAGEID                  act: visible=1.0 rho(all)=1.0 rho(dup)=1.0 | DF: dup=1.0014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rho(dup)=1.0 top10(dup)=10 maxInfl10=0.035 spur=None | var/case=0.0046 top10cov=0.9917</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entity rho min/med=0.8327/0.863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.venv/bin/python -I src/consequence.py enron  3.06s user 0.35s system 82% cpu 4.133 total</w:t>
      </w:r>
    </w:p>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Each line is one case notion. For the copied-recipient notion only 77.8% of the activities are visible, and the activity ranking agrees with the whole process at a rank correlation of 0.87. Measure the effect of duplication alone and it's exactly 1.0. So nearly all of that gap is narrowing.</w:t>
      </w:r>
    </w:p>
    <w:p>
      <w:pPr>
        <w:keepNext/>
        <w:spacing w:before="200" w:after="100" w:line="276" w:lineRule="auto"/>
        <w:outlineLvl w:val="1"/>
      </w:pPr>
      <w:bookmarkStart w:id="1066" w:name="_Toc_6_5"/>
      <w:r>
        <w:rPr>
          <w:rFonts w:ascii="Times New Roman" w:hAnsi="Times New Roman" w:cs="Times New Roman" w:eastAsia="Times New Roman"/>
          <w:b/>
          <w:bCs/>
          <w:sz w:val="24"/>
          <w:szCs w:val="24"/>
        </w:rPr>
        <w:t xml:space="preserve">6.5  Step 5: The cross-log summary</w:t>
      </w:r>
      <w:bookmarkEnd w:id="1066"/>
    </w:p>
    <w:p>
      <w:pPr>
        <w:keepNext/>
        <w:spacing w:before="100" w:after="60" w:line="276" w:lineRule="auto"/>
      </w:pPr>
      <w:r>
        <w:rPr>
          <w:rFonts w:ascii="Times New Roman" w:hAnsi="Times New Roman" w:cs="Times New Roman" w:eastAsia="Times New Roman"/>
          <w:b/>
          <w:bCs/>
          <w:sz w:val="24"/>
          <w:szCs w:val="24"/>
        </w:rPr>
        <w:t xml:space="preserve">Command: head -4 results/consequence_by_log.md</w:t>
      </w:r>
    </w:p>
    <w:p>
      <w:pPr>
        <w:spacing w:before="0" w:after="120" w:line="276" w:lineRule="auto"/>
        <w:jc w:val="both"/>
      </w:pPr>
      <w:r>
        <w:rPr>
          <w:rFonts w:ascii="Times New Roman" w:hAnsi="Times New Roman" w:cs="Times New Roman" w:eastAsia="Times New Roman"/>
          <w:sz w:val="24"/>
          <w:szCs w:val="24"/>
        </w:rPr>
        <w:t xml:space="preserve">The command prints a Markdown table with one row per log. The lines are too wide for a printed page, so we don't copy them here. The saved output is in </w:t>
      </w:r>
      <w:r>
        <w:rPr>
          <w:rFonts w:ascii="Courier New" w:hAnsi="Courier New" w:cs="Courier New" w:eastAsia="Courier New"/>
          <w:sz w:val="22"/>
          <w:szCs w:val="22"/>
        </w:rPr>
        <w:t xml:space="preserve">docs/review-3/demo/5_table.txt</w:t>
      </w:r>
      <w:r>
        <w:rPr>
          <w:rFonts w:ascii="Times New Roman" w:hAnsi="Times New Roman" w:cs="Times New Roman" w:eastAsia="Times New Roman"/>
          <w:sz w:val="24"/>
          <w:szCs w:val="24"/>
        </w:rPr>
        <w:t xml:space="preserve">, and Table 7.3 in Chapter 7 shows the same numbers.</w:t>
      </w:r>
    </w:p>
    <w:p>
      <w:pPr>
        <w:spacing w:before="0" w:after="120" w:line="276" w:lineRule="auto"/>
        <w:jc w:val="both"/>
      </w:pP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re-runs everything. When we ran it for this report it finished without error in 5 minutes 11 seconds and left every tracked result file unchanged (checked with Git).</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7</w:t>
      </w:r>
    </w:p>
    <w:p>
      <w:pPr>
        <w:keepNext/>
        <w:spacing w:before="0" w:after="240" w:line="276" w:lineRule="auto"/>
        <w:jc w:val="center"/>
        <w:outlineLvl w:val="0"/>
      </w:pPr>
      <w:bookmarkStart w:id="1067" w:name="_Toc_ch7"/>
      <w:r>
        <w:rPr>
          <w:rFonts w:ascii="Times New Roman" w:hAnsi="Times New Roman" w:cs="Times New Roman" w:eastAsia="Times New Roman"/>
          <w:b/>
          <w:bCs/>
          <w:sz w:val="28"/>
          <w:szCs w:val="28"/>
        </w:rPr>
        <w:t xml:space="preserve">RESULT AND DISCUSSION</w:t>
      </w:r>
      <w:bookmarkEnd w:id="1067"/>
    </w:p>
    <w:p>
      <w:pPr>
        <w:spacing w:before="0" w:after="120" w:line="276" w:lineRule="auto"/>
        <w:jc w:val="both"/>
      </w:pPr>
      <w:r>
        <w:rPr>
          <w:rFonts w:ascii="Times New Roman" w:hAnsi="Times New Roman" w:cs="Times New Roman" w:eastAsia="Times New Roman"/>
          <w:sz w:val="24"/>
          <w:szCs w:val="24"/>
        </w:rPr>
        <w:t xml:space="preserve">Every number in this chapter comes from the files in </w:t>
      </w:r>
      <w:r>
        <w:rPr>
          <w:rFonts w:ascii="Courier New" w:hAnsi="Courier New" w:cs="Courier New" w:eastAsia="Courier New"/>
          <w:sz w:val="22"/>
          <w:szCs w:val="22"/>
        </w:rPr>
        <w:t xml:space="preserve">realdata/results</w:t>
      </w:r>
      <w:r>
        <w:rPr>
          <w:rFonts w:ascii="Times New Roman" w:hAnsi="Times New Roman" w:cs="Times New Roman" w:eastAsia="Times New Roman"/>
          <w:sz w:val="24"/>
          <w:szCs w:val="24"/>
        </w:rPr>
        <w:t xml:space="preserve"> and regenerates with </w:t>
      </w:r>
      <w:r>
        <w:rPr>
          <w:rFonts w:ascii="Courier New" w:hAnsi="Courier New" w:cs="Courier New" w:eastAsia="Courier New"/>
          <w:sz w:val="22"/>
          <w:szCs w:val="22"/>
        </w:rPr>
        <w:t xml:space="preserve">make study</w:t>
      </w:r>
      <w:r>
        <w:rPr>
          <w:rFonts w:ascii="Times New Roman" w:hAnsi="Times New Roman" w:cs="Times New Roman" w:eastAsia="Times New Roman"/>
          <w:sz w:val="24"/>
          <w:szCs w:val="24"/>
        </w:rPr>
        <w:t xml:space="preserve">. These are measurements on seven real public logs. They say nothing about the capstone portal.</w:t>
      </w:r>
    </w:p>
    <w:p>
      <w:pPr>
        <w:keepNext/>
        <w:spacing w:before="200" w:after="100" w:line="276" w:lineRule="auto"/>
        <w:outlineLvl w:val="1"/>
      </w:pPr>
      <w:bookmarkStart w:id="1068" w:name="_Toc_7_1"/>
      <w:r>
        <w:rPr>
          <w:rFonts w:ascii="Times New Roman" w:hAnsi="Times New Roman" w:cs="Times New Roman" w:eastAsia="Times New Roman"/>
          <w:b/>
          <w:bCs/>
          <w:sz w:val="24"/>
          <w:szCs w:val="24"/>
        </w:rPr>
        <w:t xml:space="preserve">7.1  The Seven Logs</w:t>
      </w:r>
      <w:bookmarkEnd w:id="1068"/>
    </w:p>
    <w:p>
      <w:pPr>
        <w:keepNext/>
        <w:spacing w:before="160" w:after="80" w:line="240" w:lineRule="auto"/>
        <w:jc w:val="center"/>
      </w:pPr>
      <w:bookmarkStart w:id="1069" w:name="_Tab_7_1"/>
      <w:r>
        <w:rPr>
          <w:rFonts w:ascii="Times New Roman" w:hAnsi="Times New Roman" w:cs="Times New Roman" w:eastAsia="Times New Roman"/>
          <w:b/>
          <w:bCs/>
          <w:sz w:val="20"/>
          <w:szCs w:val="20"/>
        </w:rPr>
        <w:t xml:space="preserve">Table 7.1: </w:t>
      </w:r>
      <w:r>
        <w:rPr>
          <w:rFonts w:ascii="Times New Roman" w:hAnsi="Times New Roman" w:cs="Times New Roman" w:eastAsia="Times New Roman"/>
          <w:sz w:val="20"/>
          <w:szCs w:val="20"/>
        </w:rPr>
        <w:t xml:space="preserve">Profile of the seven logs</w:t>
      </w:r>
      <w:bookmarkEnd w:id="1069"/>
    </w:p>
    <w:tbl>
      <w:tblPr>
        <w:tblW w:w="907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084"/>
        <w:gridCol w:w="1594"/>
        <w:gridCol w:w="1103"/>
        <w:gridCol w:w="1103"/>
        <w:gridCol w:w="981"/>
        <w:gridCol w:w="1103"/>
        <w:gridCol w:w="1103"/>
      </w:tblGrid>
      <w:tr>
        <w:trPr>
          <w:cantSplit/>
          <w:tblHeader/>
        </w:trPr>
        <w:tc>
          <w:tcPr>
            <w:tcW w:w="208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Log</w:t>
            </w:r>
          </w:p>
        </w:tc>
        <w:tc>
          <w:tcPr>
            <w:tcW w:w="159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Domain</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Events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w:t>
            </w:r>
          </w:p>
        </w:tc>
        <w:tc>
          <w:tcPr>
            <w:tcW w:w="981"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 types</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Objects per event</w:t>
            </w:r>
          </w:p>
        </w:tc>
        <w:tc>
          <w:tcPr>
            <w:tcW w:w="110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Analysed case notions</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CROP (Gerrit)</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Code review</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306,716</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55,323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3</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OULAD</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Education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216,532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61,577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3.8</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4</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German Bundestag</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Legislation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62,719</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37,665</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44</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1.1</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9</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Age of Empires II</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Game play</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34,860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5,054</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4.3</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11</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Ethereum (window)</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Blockchain</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300,000</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17,773</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1.6</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5</w:t>
            </w:r>
          </w:p>
        </w:tc>
      </w:tr>
      <w:tr>
        <w:trPr>
          <w:cantSplit/>
        </w:trPr>
        <w:tc>
          <w:tcPr>
            <w:tcW w:w="2084" w:type="dxa"/>
            <w:vAlign w:val="center"/>
          </w:tcPr>
          <w:p>
            <w:pPr>
              <w:keepNext/>
              <w:spacing w:before="0" w:after="0" w:line="240" w:lineRule="auto"/>
              <w:jc w:val="left"/>
            </w:pPr>
            <w:r>
              <w:rPr>
                <w:rFonts w:ascii="Times New Roman" w:hAnsi="Times New Roman" w:cs="Times New Roman" w:eastAsia="Times New Roman"/>
                <w:sz w:val="18"/>
                <w:szCs w:val="18"/>
              </w:rPr>
              <w:t xml:space="preserve">Angular commits</w:t>
            </w:r>
          </w:p>
        </w:tc>
        <w:tc>
          <w:tcPr>
            <w:tcW w:w="1594"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 commits</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27,842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28,317</w:t>
            </w:r>
          </w:p>
        </w:tc>
        <w:tc>
          <w:tcPr>
            <w:tcW w:w="981"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c>
          <w:tcPr>
            <w:tcW w:w="1103" w:type="dxa"/>
            <w:vAlign w:val="center"/>
          </w:tcPr>
          <w:p>
            <w:pPr>
              <w:keepNext/>
              <w:spacing w:before="0" w:after="0" w:line="240" w:lineRule="auto"/>
              <w:jc w:val="right"/>
            </w:pPr>
            <w:r>
              <w:rPr>
                <w:rFonts w:ascii="Times New Roman" w:hAnsi="Times New Roman" w:cs="Times New Roman" w:eastAsia="Times New Roman"/>
                <w:sz w:val="18"/>
                <w:szCs w:val="18"/>
              </w:rPr>
              <w:t xml:space="preserve">88.0</w:t>
            </w:r>
          </w:p>
        </w:tc>
        <w:tc>
          <w:tcPr>
            <w:tcW w:w="1103" w:type="dxa"/>
            <w:vAlign w:val="center"/>
          </w:tcPr>
          <w:p>
            <w:pPr>
              <w:keepNext/>
              <w:spacing w:before="0" w:after="0" w:line="240" w:lineRule="auto"/>
              <w:jc w:val="center"/>
            </w:pPr>
            <w:r>
              <w:rPr>
                <w:rFonts w:ascii="Times New Roman" w:hAnsi="Times New Roman" w:cs="Times New Roman" w:eastAsia="Times New Roman"/>
                <w:sz w:val="18"/>
                <w:szCs w:val="18"/>
              </w:rPr>
              <w:t xml:space="preserve">2</w:t>
            </w:r>
          </w:p>
        </w:tc>
      </w:tr>
      <w:tr>
        <w:trPr>
          <w:cantSplit/>
        </w:trPr>
        <w:tc>
          <w:tcPr>
            <w:tcW w:w="2084" w:type="dxa"/>
            <w:vAlign w:val="center"/>
          </w:tcPr>
          <w:p>
            <w:pPr>
              <w:spacing w:before="0" w:after="0" w:line="240" w:lineRule="auto"/>
              <w:jc w:val="left"/>
            </w:pPr>
            <w:r>
              <w:rPr>
                <w:rFonts w:ascii="Times New Roman" w:hAnsi="Times New Roman" w:cs="Times New Roman" w:eastAsia="Times New Roman"/>
                <w:sz w:val="18"/>
                <w:szCs w:val="18"/>
              </w:rPr>
              <w:t xml:space="preserve">Enron e-mail</w:t>
            </w:r>
          </w:p>
        </w:tc>
        <w:tc>
          <w:tcPr>
            <w:tcW w:w="1594" w:type="dxa"/>
            <w:vAlign w:val="center"/>
          </w:tcPr>
          <w:p>
            <w:pPr>
              <w:spacing w:before="0" w:after="0" w:line="240" w:lineRule="auto"/>
              <w:jc w:val="left"/>
            </w:pPr>
            <w:r>
              <w:rPr>
                <w:rFonts w:ascii="Times New Roman" w:hAnsi="Times New Roman" w:cs="Times New Roman" w:eastAsia="Times New Roman"/>
                <w:sz w:val="18"/>
                <w:szCs w:val="18"/>
              </w:rPr>
              <w:t xml:space="preserve">E-mail</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96,175</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70,541</w:t>
            </w:r>
          </w:p>
        </w:tc>
        <w:tc>
          <w:tcPr>
            <w:tcW w:w="981"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c>
          <w:tcPr>
            <w:tcW w:w="1103" w:type="dxa"/>
            <w:vAlign w:val="center"/>
          </w:tcPr>
          <w:p>
            <w:pPr>
              <w:spacing w:before="0" w:after="0" w:line="240" w:lineRule="auto"/>
              <w:jc w:val="right"/>
            </w:pPr>
            <w:r>
              <w:rPr>
                <w:rFonts w:ascii="Times New Roman" w:hAnsi="Times New Roman" w:cs="Times New Roman" w:eastAsia="Times New Roman"/>
                <w:sz w:val="18"/>
                <w:szCs w:val="18"/>
              </w:rPr>
              <w:t xml:space="preserve">3.5</w:t>
            </w:r>
          </w:p>
        </w:tc>
        <w:tc>
          <w:tcPr>
            <w:tcW w:w="1103" w:type="dxa"/>
            <w:vAlign w:val="center"/>
          </w:tcPr>
          <w:p>
            <w:pPr>
              <w:spacing w:before="0" w:after="0" w:line="240" w:lineRule="auto"/>
              <w:jc w:val="center"/>
            </w:pPr>
            <w:r>
              <w:rPr>
                <w:rFonts w:ascii="Times New Roman" w:hAnsi="Times New Roman" w:cs="Times New Roman" w:eastAsia="Times New Roman"/>
                <w:sz w:val="18"/>
                <w:szCs w:val="18"/>
              </w:rPr>
              <w:t xml:space="preserve">4</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cover code review, education, legislation, e-mail, blockchain and game play, which gives 38 analysed case notions. The Ethereum figures are for a contiguous window of 300,000 events from a log with 3.2 million.</w:t>
      </w:r>
    </w:p>
    <w:p>
      <w:pPr>
        <w:keepNext/>
        <w:spacing w:before="200" w:after="100" w:line="276" w:lineRule="auto"/>
        <w:outlineLvl w:val="1"/>
      </w:pPr>
      <w:bookmarkStart w:id="1070" w:name="_Toc_7_2"/>
      <w:r>
        <w:rPr>
          <w:rFonts w:ascii="Times New Roman" w:hAnsi="Times New Roman" w:cs="Times New Roman" w:eastAsia="Times New Roman"/>
          <w:b/>
          <w:bCs/>
          <w:sz w:val="24"/>
          <w:szCs w:val="24"/>
        </w:rPr>
        <w:t xml:space="preserve">7.2  Distortion by Flattening</w:t>
      </w:r>
      <w:bookmarkEnd w:id="1070"/>
    </w:p>
    <w:p>
      <w:pPr>
        <w:keepNext/>
        <w:spacing w:before="160" w:after="80" w:line="240" w:lineRule="auto"/>
        <w:jc w:val="center"/>
      </w:pPr>
      <w:bookmarkStart w:id="1071" w:name="_Tab_7_2"/>
      <w:r>
        <w:rPr>
          <w:rFonts w:ascii="Times New Roman" w:hAnsi="Times New Roman" w:cs="Times New Roman" w:eastAsia="Times New Roman"/>
          <w:b/>
          <w:bCs/>
          <w:sz w:val="20"/>
          <w:szCs w:val="20"/>
        </w:rPr>
        <w:t xml:space="preserve">Table 7.2: </w:t>
      </w:r>
      <w:r>
        <w:rPr>
          <w:rFonts w:ascii="Times New Roman" w:hAnsi="Times New Roman" w:cs="Times New Roman" w:eastAsia="Times New Roman"/>
          <w:sz w:val="20"/>
          <w:szCs w:val="20"/>
        </w:rPr>
        <w:t xml:space="preserve">Flattening distortion per log (analysed case notions)</w:t>
      </w:r>
      <w:bookmarkEnd w:id="1071"/>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4"/>
        <w:gridCol w:w="1243"/>
        <w:gridCol w:w="1243"/>
        <w:gridCol w:w="1118"/>
        <w:gridCol w:w="1118"/>
        <w:gridCol w:w="1243"/>
        <w:gridCol w:w="1243"/>
      </w:tblGrid>
      <w:tr>
        <w:trPr>
          <w:cantSplit/>
          <w:tblHeader/>
        </w:trPr>
        <w:tc>
          <w:tcPr>
            <w:tcW w:w="18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Log</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Regime</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share of events dropped</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Median copies per event</w:t>
            </w:r>
          </w:p>
        </w:tc>
        <w:tc>
          <w:tcPr>
            <w:tcW w:w="1118"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Largest copies per event</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Notions with over 5% duplication</w:t>
            </w:r>
          </w:p>
        </w:tc>
        <w:tc>
          <w:tcPr>
            <w:tcW w:w="1243"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7"/>
                <w:szCs w:val="17"/>
              </w:rPr>
              <w:t xml:space="preserve">Type pairs sharing 50% or more</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CROP (Gerrit)</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3</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6</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OULAD</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Star</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0 of 4</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7 of 12</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German Bundestag</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90.8%</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1.00</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1.27</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13</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Age of Empires II</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86.3%</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1.76</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4 of 11</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50 of 137</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Ethereum (window)</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Partitioned</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68.9%</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1.04</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1.09</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10 of 20</w:t>
            </w:r>
          </w:p>
        </w:tc>
      </w:tr>
      <w:tr>
        <w:trPr>
          <w:cantSplit/>
        </w:trPr>
        <w:tc>
          <w:tcPr>
            <w:tcW w:w="1864" w:type="dxa"/>
            <w:vAlign w:val="center"/>
          </w:tcPr>
          <w:p>
            <w:pPr>
              <w:keepNext/>
              <w:spacing w:before="0" w:after="0" w:line="240" w:lineRule="auto"/>
              <w:jc w:val="left"/>
            </w:pPr>
            <w:r>
              <w:rPr>
                <w:rFonts w:ascii="Times New Roman" w:hAnsi="Times New Roman" w:cs="Times New Roman" w:eastAsia="Times New Roman"/>
                <w:sz w:val="17"/>
                <w:szCs w:val="17"/>
              </w:rPr>
              <w:t xml:space="preserve">Angular commits</w:t>
            </w:r>
          </w:p>
        </w:tc>
        <w:tc>
          <w:tcPr>
            <w:tcW w:w="1243" w:type="dxa"/>
            <w:vAlign w:val="center"/>
          </w:tcPr>
          <w:p>
            <w:pPr>
              <w:keepNext/>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keepNext/>
              <w:spacing w:before="0" w:after="0" w:line="240" w:lineRule="auto"/>
              <w:jc w:val="right"/>
            </w:pPr>
            <w:r>
              <w:rPr>
                <w:rFonts w:ascii="Times New Roman" w:hAnsi="Times New Roman" w:cs="Times New Roman" w:eastAsia="Times New Roman"/>
                <w:sz w:val="17"/>
                <w:szCs w:val="17"/>
              </w:rPr>
              <w:t xml:space="preserve">0.1%</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44.06</w:t>
            </w:r>
          </w:p>
        </w:tc>
        <w:tc>
          <w:tcPr>
            <w:tcW w:w="1118" w:type="dxa"/>
            <w:vAlign w:val="center"/>
          </w:tcPr>
          <w:p>
            <w:pPr>
              <w:keepNext/>
              <w:spacing w:before="0" w:after="0" w:line="240" w:lineRule="auto"/>
              <w:jc w:val="right"/>
            </w:pPr>
            <w:r>
              <w:rPr>
                <w:rFonts w:ascii="Times New Roman" w:hAnsi="Times New Roman" w:cs="Times New Roman" w:eastAsia="Times New Roman"/>
                <w:sz w:val="17"/>
                <w:szCs w:val="17"/>
              </w:rPr>
              <w:t xml:space="preserve">81.65</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c>
          <w:tcPr>
            <w:tcW w:w="1243" w:type="dxa"/>
            <w:vAlign w:val="center"/>
          </w:tcPr>
          <w:p>
            <w:pPr>
              <w:keepNext/>
              <w:spacing w:before="0" w:after="0" w:line="240" w:lineRule="auto"/>
              <w:jc w:val="center"/>
            </w:pPr>
            <w:r>
              <w:rPr>
                <w:rFonts w:ascii="Times New Roman" w:hAnsi="Times New Roman" w:cs="Times New Roman" w:eastAsia="Times New Roman"/>
                <w:sz w:val="17"/>
                <w:szCs w:val="17"/>
              </w:rPr>
              <w:t xml:space="preserve">2 of 2</w:t>
            </w:r>
          </w:p>
        </w:tc>
      </w:tr>
      <w:tr>
        <w:trPr>
          <w:cantSplit/>
        </w:trPr>
        <w:tc>
          <w:tcPr>
            <w:tcW w:w="1864" w:type="dxa"/>
            <w:vAlign w:val="center"/>
          </w:tcPr>
          <w:p>
            <w:pPr>
              <w:spacing w:before="0" w:after="0" w:line="240" w:lineRule="auto"/>
              <w:jc w:val="left"/>
            </w:pPr>
            <w:r>
              <w:rPr>
                <w:rFonts w:ascii="Times New Roman" w:hAnsi="Times New Roman" w:cs="Times New Roman" w:eastAsia="Times New Roman"/>
                <w:sz w:val="17"/>
                <w:szCs w:val="17"/>
              </w:rPr>
              <w:t xml:space="preserve">Enron e-mail</w:t>
            </w:r>
          </w:p>
        </w:tc>
        <w:tc>
          <w:tcPr>
            <w:tcW w:w="1243" w:type="dxa"/>
            <w:vAlign w:val="center"/>
          </w:tcPr>
          <w:p>
            <w:pPr>
              <w:spacing w:before="0" w:after="0" w:line="240" w:lineRule="auto"/>
              <w:jc w:val="left"/>
            </w:pPr>
            <w:r>
              <w:rPr>
                <w:rFonts w:ascii="Times New Roman" w:hAnsi="Times New Roman" w:cs="Times New Roman" w:eastAsia="Times New Roman"/>
                <w:sz w:val="17"/>
                <w:szCs w:val="17"/>
              </w:rPr>
              <w:t xml:space="preserve">Fan-out</w:t>
            </w:r>
          </w:p>
        </w:tc>
        <w:tc>
          <w:tcPr>
            <w:tcW w:w="1243" w:type="dxa"/>
            <w:vAlign w:val="center"/>
          </w:tcPr>
          <w:p>
            <w:pPr>
              <w:spacing w:before="0" w:after="0" w:line="240" w:lineRule="auto"/>
              <w:jc w:val="right"/>
            </w:pPr>
            <w:r>
              <w:rPr>
                <w:rFonts w:ascii="Times New Roman" w:hAnsi="Times New Roman" w:cs="Times New Roman" w:eastAsia="Times New Roman"/>
                <w:sz w:val="17"/>
                <w:szCs w:val="17"/>
              </w:rPr>
              <w:t xml:space="preserve">23.1%</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1.29</w:t>
            </w:r>
          </w:p>
        </w:tc>
        <w:tc>
          <w:tcPr>
            <w:tcW w:w="1118" w:type="dxa"/>
            <w:vAlign w:val="center"/>
          </w:tcPr>
          <w:p>
            <w:pPr>
              <w:spacing w:before="0" w:after="0" w:line="240" w:lineRule="auto"/>
              <w:jc w:val="right"/>
            </w:pPr>
            <w:r>
              <w:rPr>
                <w:rFonts w:ascii="Times New Roman" w:hAnsi="Times New Roman" w:cs="Times New Roman" w:eastAsia="Times New Roman"/>
                <w:sz w:val="17"/>
                <w:szCs w:val="17"/>
              </w:rPr>
              <w:t xml:space="preserve">2.11</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2 of 4</w:t>
            </w:r>
          </w:p>
        </w:tc>
        <w:tc>
          <w:tcPr>
            <w:tcW w:w="1243" w:type="dxa"/>
            <w:vAlign w:val="center"/>
          </w:tcPr>
          <w:p>
            <w:pPr>
              <w:spacing w:before="0" w:after="0" w:line="240" w:lineRule="auto"/>
              <w:jc w:val="center"/>
            </w:pPr>
            <w:r>
              <w:rPr>
                <w:rFonts w:ascii="Times New Roman" w:hAnsi="Times New Roman" w:cs="Times New Roman" w:eastAsia="Times New Roman"/>
                <w:sz w:val="17"/>
                <w:szCs w:val="17"/>
              </w:rPr>
              <w:t xml:space="preserve">8 of 12</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logs fall into three groups, shown in Figure 7.1.</w:t>
      </w:r>
    </w:p>
    <w:p>
      <w:pPr>
        <w:spacing w:before="0" w:after="120" w:line="276" w:lineRule="auto"/>
        <w:jc w:val="both"/>
      </w:pPr>
      <w:r>
        <w:rPr>
          <w:rFonts w:ascii="Times New Roman" w:hAnsi="Times New Roman" w:cs="Times New Roman" w:eastAsia="Times New Roman"/>
          <w:sz w:val="24"/>
          <w:szCs w:val="24"/>
        </w:rPr>
        <w:t xml:space="preserve">In the star logs (CROP and OULAD) every event touches exactly one object of each type. Flattening copies nothing (1.00 copies per event) and, in the median, drops nothing. On these two measures the distortion is zero.</w:t>
      </w:r>
    </w:p>
    <w:p>
      <w:pPr>
        <w:spacing w:before="0" w:after="120" w:line="276" w:lineRule="auto"/>
        <w:jc w:val="both"/>
      </w:pPr>
      <w:r>
        <w:rPr>
          <w:rFonts w:ascii="Times New Roman" w:hAnsi="Times New Roman" w:cs="Times New Roman" w:eastAsia="Times New Roman"/>
          <w:sz w:val="24"/>
          <w:szCs w:val="24"/>
        </w:rPr>
        <w:t xml:space="preserve">The partitioned logs (Bundestag, Age of Empires II, Ethereum) copy little, at most 1.27, 1.76 and 1.09 copies per event. The catch is that different object types cover different parts of the log, so one case notion drops about 69% to 91% of the events in the median.</w:t>
      </w:r>
    </w:p>
    <w:p>
      <w:pPr>
        <w:spacing w:before="0" w:after="120" w:line="276" w:lineRule="auto"/>
        <w:jc w:val="both"/>
      </w:pPr>
      <w:r>
        <w:rPr>
          <w:rFonts w:ascii="Times New Roman" w:hAnsi="Times New Roman" w:cs="Times New Roman" w:eastAsia="Times New Roman"/>
          <w:sz w:val="24"/>
          <w:szCs w:val="24"/>
        </w:rPr>
        <w:t xml:space="preserve">In the fan-out logs (Angular commits and Enron) one event relates to many objects of the same type. The largest duplication is 81.65 copies per event in Angular (the branch case notion) and 2.11 in Enron.</w:t>
      </w:r>
    </w:p>
    <w:p>
      <w:pPr>
        <w:keepNext/>
        <w:spacing w:before="120" w:after="60" w:line="240" w:lineRule="auto"/>
        <w:jc w:val="center"/>
      </w:pPr>
      <w:r>
        <w:drawing>
          <wp:inline distT="0" distB="0" distL="0" distR="0">
            <wp:extent cx="5120640" cy="3085513"/>
            <wp:docPr id="509" name="Figure 7.1" descr="Duplication and dropped events for the seven logs, by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regimes.png"/>
                    <pic:cNvPicPr/>
                  </pic:nvPicPr>
                  <pic:blipFill>
                    <a:blip r:embed="rIdImg9"/>
                    <a:stretch>
                      <a:fillRect/>
                    </a:stretch>
                  </pic:blipFill>
                  <pic:spPr>
                    <a:xfrm>
                      <a:off x="0" y="0"/>
                      <a:ext cx="5120640" cy="3085513"/>
                    </a:xfrm>
                    <a:prstGeom prst="rect">
                      <a:avLst/>
                    </a:prstGeom>
                  </pic:spPr>
                </pic:pic>
              </a:graphicData>
            </a:graphic>
          </wp:inline>
        </w:drawing>
      </w:r>
    </w:p>
    <w:p>
      <w:pPr>
        <w:spacing w:before="0" w:after="200" w:line="240" w:lineRule="auto"/>
        <w:jc w:val="center"/>
      </w:pPr>
      <w:bookmarkStart w:id="1072" w:name="_Fig_7_1"/>
      <w:r>
        <w:rPr>
          <w:rFonts w:ascii="Times New Roman" w:hAnsi="Times New Roman" w:cs="Times New Roman" w:eastAsia="Times New Roman"/>
          <w:b/>
          <w:bCs/>
          <w:sz w:val="20"/>
          <w:szCs w:val="20"/>
        </w:rPr>
        <w:t xml:space="preserve">Figure 7.1: </w:t>
      </w:r>
      <w:r>
        <w:rPr>
          <w:rFonts w:ascii="Times New Roman" w:hAnsi="Times New Roman" w:cs="Times New Roman" w:eastAsia="Times New Roman"/>
          <w:sz w:val="20"/>
          <w:szCs w:val="20"/>
        </w:rPr>
        <w:t xml:space="preserve">Duplication and dropped events for the seven logs, by regime</w:t>
      </w:r>
      <w:bookmarkEnd w:id="1072"/>
    </w:p>
    <w:p>
      <w:pPr>
        <w:spacing w:before="0" w:after="120" w:line="276" w:lineRule="auto"/>
        <w:jc w:val="both"/>
      </w:pPr>
      <w:r>
        <w:rPr>
          <w:rFonts w:ascii="Times New Roman" w:hAnsi="Times New Roman" w:cs="Times New Roman" w:eastAsia="Times New Roman"/>
          <w:sz w:val="24"/>
          <w:szCs w:val="24"/>
        </w:rPr>
        <w:t xml:space="preserve">Coupling tells the other half of the story. Figure 7.2 shows the share of object-type pairs where the objects of one type are shared across the cases of the other. In every log except the Bundestag and Age of Empires, at least half the type pairs share more than half of their objects, and in Angular both of the two pairs do.</w:t>
      </w:r>
    </w:p>
    <w:p>
      <w:pPr>
        <w:keepNext/>
        <w:spacing w:before="120" w:after="60" w:line="240" w:lineRule="auto"/>
        <w:jc w:val="center"/>
      </w:pPr>
      <w:r>
        <w:drawing>
          <wp:inline distT="0" distB="0" distL="0" distR="0">
            <wp:extent cx="4937760" cy="2674620"/>
            <wp:docPr id="510" name="Figure 7.2" descr="Object-type pairs that share more than half of their objects across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coupling.png"/>
                    <pic:cNvPicPr/>
                  </pic:nvPicPr>
                  <pic:blipFill>
                    <a:blip r:embed="rIdImg10"/>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3" w:name="_Fig_7_2"/>
      <w:r>
        <w:rPr>
          <w:rFonts w:ascii="Times New Roman" w:hAnsi="Times New Roman" w:cs="Times New Roman" w:eastAsia="Times New Roman"/>
          <w:b/>
          <w:bCs/>
          <w:sz w:val="20"/>
          <w:szCs w:val="20"/>
        </w:rPr>
        <w:t xml:space="preserve">Figure 7.2: </w:t>
      </w:r>
      <w:r>
        <w:rPr>
          <w:rFonts w:ascii="Times New Roman" w:hAnsi="Times New Roman" w:cs="Times New Roman" w:eastAsia="Times New Roman"/>
          <w:sz w:val="20"/>
          <w:szCs w:val="20"/>
        </w:rPr>
        <w:t xml:space="preserve">Object-type pairs that share more than half of their objects across cases</w:t>
      </w:r>
      <w:bookmarkEnd w:id="1073"/>
    </w:p>
    <w:p>
      <w:pPr>
        <w:keepNext/>
        <w:spacing w:before="200" w:after="100" w:line="276" w:lineRule="auto"/>
        <w:outlineLvl w:val="1"/>
      </w:pPr>
      <w:bookmarkStart w:id="1074" w:name="_Toc_7_3"/>
      <w:r>
        <w:rPr>
          <w:rFonts w:ascii="Times New Roman" w:hAnsi="Times New Roman" w:cs="Times New Roman" w:eastAsia="Times New Roman"/>
          <w:b/>
          <w:bCs/>
          <w:sz w:val="24"/>
          <w:szCs w:val="24"/>
        </w:rPr>
        <w:t xml:space="preserve">7.3  Consequences for Standard Outputs</w:t>
      </w:r>
      <w:bookmarkEnd w:id="1074"/>
    </w:p>
    <w:p>
      <w:pPr>
        <w:keepNext/>
        <w:spacing w:before="160" w:after="80" w:line="240" w:lineRule="auto"/>
        <w:jc w:val="center"/>
      </w:pPr>
      <w:bookmarkStart w:id="1075" w:name="_Tab_7_3"/>
      <w:r>
        <w:rPr>
          <w:rFonts w:ascii="Times New Roman" w:hAnsi="Times New Roman" w:cs="Times New Roman" w:eastAsia="Times New Roman"/>
          <w:b/>
          <w:bCs/>
          <w:sz w:val="20"/>
          <w:szCs w:val="20"/>
        </w:rPr>
        <w:t xml:space="preserve">Table 7.3: </w:t>
      </w:r>
      <w:r>
        <w:rPr>
          <w:rFonts w:ascii="Times New Roman" w:hAnsi="Times New Roman" w:cs="Times New Roman" w:eastAsia="Times New Roman"/>
          <w:sz w:val="20"/>
          <w:szCs w:val="20"/>
        </w:rPr>
        <w:t xml:space="preserve">Consequences of flattening per log</w:t>
      </w:r>
      <w:bookmarkEnd w:id="1075"/>
    </w:p>
    <w:tbl>
      <w:tblPr>
        <w:tblW w:w="907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764"/>
        <w:gridCol w:w="882"/>
        <w:gridCol w:w="1134"/>
        <w:gridCol w:w="1890"/>
        <w:gridCol w:w="1134"/>
        <w:gridCol w:w="1134"/>
        <w:gridCol w:w="1134"/>
      </w:tblGrid>
      <w:tr>
        <w:trPr>
          <w:cantSplit/>
          <w:tblHeader/>
        </w:trPr>
        <w:tc>
          <w:tcPr>
            <w:tcW w:w="176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Log</w:t>
            </w:r>
          </w:p>
        </w:tc>
        <w:tc>
          <w:tcPr>
            <w:tcW w:w="882"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Notions</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Activities visible (median)</w:t>
            </w:r>
          </w:p>
        </w:tc>
        <w:tc>
          <w:tcPr>
            <w:tcW w:w="189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Activity rank correlation, whole process (median / lowest)</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duplication only</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Largest edge duplication</w:t>
            </w:r>
          </w:p>
        </w:tc>
        <w:tc>
          <w:tcPr>
            <w:tcW w:w="1134"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6"/>
                <w:szCs w:val="16"/>
              </w:rPr>
              <w:t xml:space="preserve">Lowest entity-rank correlation</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CROP (Gerrit)</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3</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OULAD</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1.00 / 0.87</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German Bundestag</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0.10</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0.17 / 0.00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1.26</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0.34</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Age of Empires II</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11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0.12</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0.21 / -0.05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1.69</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-0.41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Ethereum (window)</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0.79</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0.64 / 0.02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1.00</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1.02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-0.01</w:t>
            </w:r>
          </w:p>
        </w:tc>
      </w:tr>
      <w:tr>
        <w:trPr>
          <w:cantSplit/>
        </w:trPr>
        <w:tc>
          <w:tcPr>
            <w:tcW w:w="1764" w:type="dxa"/>
            <w:vAlign w:val="center"/>
          </w:tcPr>
          <w:p>
            <w:pPr>
              <w:keepNext/>
              <w:spacing w:before="0" w:after="0" w:line="240" w:lineRule="auto"/>
              <w:jc w:val="left"/>
            </w:pPr>
            <w:r>
              <w:rPr>
                <w:rFonts w:ascii="Times New Roman" w:hAnsi="Times New Roman" w:cs="Times New Roman" w:eastAsia="Times New Roman"/>
                <w:sz w:val="16"/>
                <w:szCs w:val="16"/>
              </w:rPr>
              <w:t xml:space="preserve">Angular commits</w:t>
            </w:r>
          </w:p>
        </w:tc>
        <w:tc>
          <w:tcPr>
            <w:tcW w:w="882" w:type="dxa"/>
            <w:vAlign w:val="center"/>
          </w:tcPr>
          <w:p>
            <w:pPr>
              <w:keepNext/>
              <w:spacing w:before="0" w:after="0" w:line="240" w:lineRule="auto"/>
              <w:jc w:val="center"/>
            </w:pPr>
            <w:r>
              <w:rPr>
                <w:rFonts w:ascii="Times New Roman" w:hAnsi="Times New Roman" w:cs="Times New Roman" w:eastAsia="Times New Roman"/>
                <w:sz w:val="16"/>
                <w:szCs w:val="16"/>
              </w:rPr>
              <w:t xml:space="preserve">2</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0.98</w:t>
            </w:r>
          </w:p>
        </w:tc>
        <w:tc>
          <w:tcPr>
            <w:tcW w:w="1890" w:type="dxa"/>
            <w:vAlign w:val="center"/>
          </w:tcPr>
          <w:p>
            <w:pPr>
              <w:keepNext/>
              <w:spacing w:before="0" w:after="0" w:line="240" w:lineRule="auto"/>
              <w:jc w:val="center"/>
            </w:pPr>
            <w:r>
              <w:rPr>
                <w:rFonts w:ascii="Times New Roman" w:hAnsi="Times New Roman" w:cs="Times New Roman" w:eastAsia="Times New Roman"/>
                <w:sz w:val="16"/>
                <w:szCs w:val="16"/>
              </w:rPr>
              <w:t xml:space="preserve">0.88 / 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0.81</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74.05</w:t>
            </w:r>
          </w:p>
        </w:tc>
        <w:tc>
          <w:tcPr>
            <w:tcW w:w="1134" w:type="dxa"/>
            <w:vAlign w:val="center"/>
          </w:tcPr>
          <w:p>
            <w:pPr>
              <w:keepNext/>
              <w:spacing w:before="0" w:after="0" w:line="240" w:lineRule="auto"/>
              <w:jc w:val="right"/>
            </w:pPr>
            <w:r>
              <w:rPr>
                <w:rFonts w:ascii="Times New Roman" w:hAnsi="Times New Roman" w:cs="Times New Roman" w:eastAsia="Times New Roman"/>
                <w:sz w:val="16"/>
                <w:szCs w:val="16"/>
              </w:rPr>
              <w:t xml:space="preserve">0.88</w:t>
            </w:r>
          </w:p>
        </w:tc>
      </w:tr>
      <w:tr>
        <w:trPr>
          <w:cantSplit/>
        </w:trPr>
        <w:tc>
          <w:tcPr>
            <w:tcW w:w="1764" w:type="dxa"/>
            <w:vAlign w:val="center"/>
          </w:tcPr>
          <w:p>
            <w:pPr>
              <w:spacing w:before="0" w:after="0" w:line="240" w:lineRule="auto"/>
              <w:jc w:val="left"/>
            </w:pPr>
            <w:r>
              <w:rPr>
                <w:rFonts w:ascii="Times New Roman" w:hAnsi="Times New Roman" w:cs="Times New Roman" w:eastAsia="Times New Roman"/>
                <w:sz w:val="16"/>
                <w:szCs w:val="16"/>
              </w:rPr>
              <w:t xml:space="preserve">Enron e-mail</w:t>
            </w:r>
          </w:p>
        </w:tc>
        <w:tc>
          <w:tcPr>
            <w:tcW w:w="882" w:type="dxa"/>
            <w:vAlign w:val="center"/>
          </w:tcPr>
          <w:p>
            <w:pPr>
              <w:spacing w:before="0" w:after="0" w:line="240" w:lineRule="auto"/>
              <w:jc w:val="center"/>
            </w:pPr>
            <w:r>
              <w:rPr>
                <w:rFonts w:ascii="Times New Roman" w:hAnsi="Times New Roman" w:cs="Times New Roman" w:eastAsia="Times New Roman"/>
                <w:sz w:val="16"/>
                <w:szCs w:val="16"/>
              </w:rPr>
              <w:t xml:space="preserve">4</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1.00</w:t>
            </w:r>
          </w:p>
        </w:tc>
        <w:tc>
          <w:tcPr>
            <w:tcW w:w="1890" w:type="dxa"/>
            <w:vAlign w:val="center"/>
          </w:tcPr>
          <w:p>
            <w:pPr>
              <w:spacing w:before="0" w:after="0" w:line="240" w:lineRule="auto"/>
              <w:jc w:val="center"/>
            </w:pPr>
            <w:r>
              <w:rPr>
                <w:rFonts w:ascii="Times New Roman" w:hAnsi="Times New Roman" w:cs="Times New Roman" w:eastAsia="Times New Roman"/>
                <w:sz w:val="16"/>
                <w:szCs w:val="16"/>
              </w:rPr>
              <w:t xml:space="preserve">0.97 / 0.87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0.93</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1.57</w:t>
            </w:r>
          </w:p>
        </w:tc>
        <w:tc>
          <w:tcPr>
            <w:tcW w:w="1134" w:type="dxa"/>
            <w:vAlign w:val="center"/>
          </w:tcPr>
          <w:p>
            <w:pPr>
              <w:spacing w:before="0" w:after="0" w:line="240" w:lineRule="auto"/>
              <w:jc w:val="right"/>
            </w:pPr>
            <w:r>
              <w:rPr>
                <w:rFonts w:ascii="Times New Roman" w:hAnsi="Times New Roman" w:cs="Times New Roman" w:eastAsia="Times New Roman"/>
                <w:sz w:val="16"/>
                <w:szCs w:val="16"/>
              </w:rPr>
              <w:t xml:space="preserve">0.16</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Three things came out of this.</w:t>
      </w:r>
    </w:p>
    <w:p>
      <w:pPr>
        <w:spacing w:before="0" w:after="120" w:line="276" w:lineRule="auto"/>
        <w:jc w:val="both"/>
      </w:pPr>
      <w:r>
        <w:rPr>
          <w:rFonts w:ascii="Times New Roman" w:hAnsi="Times New Roman" w:cs="Times New Roman" w:eastAsia="Times New Roman"/>
          <w:sz w:val="24"/>
          <w:szCs w:val="24"/>
        </w:rPr>
        <w:t xml:space="preserve">First, duplication alone rarely changes a ranking. Compare the activity ranking from flat rows with the ranking of the same events counted once, and only 2 of the 38 case notions fall below a rank correlation of 0.95: Angular files (0.81) and the Enron "to" role (0.93). Where a log has no duplication, as in the star logs, the correlation is exactly 1.0.</w:t>
      </w:r>
    </w:p>
    <w:p>
      <w:pPr>
        <w:spacing w:before="0" w:after="120" w:line="276" w:lineRule="auto"/>
        <w:jc w:val="both"/>
      </w:pPr>
      <w:r>
        <w:rPr>
          <w:rFonts w:ascii="Times New Roman" w:hAnsi="Times New Roman" w:cs="Times New Roman" w:eastAsia="Times New Roman"/>
          <w:sz w:val="24"/>
          <w:szCs w:val="24"/>
        </w:rPr>
        <w:t xml:space="preserve">Second, narrowing is the bigger effect. In 20 of the 38 case notions the flat log shows fewer than half of the activities of the whole process. The activity rank correlation with the whole process has a median of only 0.17 in the Bundestag and 0.21 in Age of Empires II. A flat view of those logs isn't a distorted picture of the process. It's a small piece of it.</w:t>
      </w:r>
    </w:p>
    <w:p>
      <w:pPr>
        <w:keepNext/>
        <w:spacing w:before="120" w:after="60" w:line="240" w:lineRule="auto"/>
        <w:jc w:val="center"/>
      </w:pPr>
      <w:r>
        <w:drawing>
          <wp:inline distT="0" distB="0" distL="0" distR="0">
            <wp:extent cx="5120640" cy="3200400"/>
            <wp:docPr id="511" name="Figure 7.3" descr="Activity ranking agreement: duplication alone versus the whol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rank_activity.png"/>
                    <pic:cNvPicPr/>
                  </pic:nvPicPr>
                  <pic:blipFill>
                    <a:blip r:embed="rIdImg11"/>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6" w:name="_Fig_7_3"/>
      <w:r>
        <w:rPr>
          <w:rFonts w:ascii="Times New Roman" w:hAnsi="Times New Roman" w:cs="Times New Roman" w:eastAsia="Times New Roman"/>
          <w:b/>
          <w:bCs/>
          <w:sz w:val="20"/>
          <w:szCs w:val="20"/>
        </w:rPr>
        <w:t xml:space="preserve">Figure 7.3: </w:t>
      </w:r>
      <w:r>
        <w:rPr>
          <w:rFonts w:ascii="Times New Roman" w:hAnsi="Times New Roman" w:cs="Times New Roman" w:eastAsia="Times New Roman"/>
          <w:sz w:val="20"/>
          <w:szCs w:val="20"/>
        </w:rPr>
        <w:t xml:space="preserve">Activity ranking agreement: duplication alone versus the whole process</w:t>
      </w:r>
      <w:bookmarkEnd w:id="1076"/>
    </w:p>
    <w:p>
      <w:pPr>
        <w:spacing w:before="0" w:after="120" w:line="276" w:lineRule="auto"/>
        <w:jc w:val="both"/>
      </w:pPr>
      <w:r>
        <w:rPr>
          <w:rFonts w:ascii="Times New Roman" w:hAnsi="Times New Roman" w:cs="Times New Roman" w:eastAsia="Times New Roman"/>
          <w:sz w:val="24"/>
          <w:szCs w:val="24"/>
        </w:rPr>
        <w:t xml:space="preserve">Third, careless counting can mislead. Say an analyst ranks entities (people, for example) by counting rows in a denormalised flat export. Among the entities that appear in the export, the worst-case rank correlations with the true number of events per entity are 0.16 in Enron, -0.01 in Ethereum and -0.41 in Age of Empires II. An analyst who de-duplicates on the event identifier would avoid this, so it's a warning about careless counting and doesn't describe a loss nobody can avoid.</w:t>
      </w:r>
    </w:p>
    <w:p>
      <w:pPr>
        <w:keepNext/>
        <w:spacing w:before="120" w:after="60" w:line="240" w:lineRule="auto"/>
        <w:jc w:val="center"/>
      </w:pPr>
      <w:r>
        <w:drawing>
          <wp:inline distT="0" distB="0" distL="0" distR="0">
            <wp:extent cx="5120640" cy="3200400"/>
            <wp:docPr id="512" name="Figure 7.4" descr="Entity ranking agreement from a denormalised flat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rank_entity.png"/>
                    <pic:cNvPicPr/>
                  </pic:nvPicPr>
                  <pic:blipFill>
                    <a:blip r:embed="rIdImg12"/>
                    <a:stretch>
                      <a:fillRect/>
                    </a:stretch>
                  </pic:blipFill>
                  <pic:spPr>
                    <a:xfrm>
                      <a:off x="0" y="0"/>
                      <a:ext cx="5120640" cy="3200400"/>
                    </a:xfrm>
                    <a:prstGeom prst="rect">
                      <a:avLst/>
                    </a:prstGeom>
                  </pic:spPr>
                </pic:pic>
              </a:graphicData>
            </a:graphic>
          </wp:inline>
        </w:drawing>
      </w:r>
    </w:p>
    <w:p>
      <w:pPr>
        <w:spacing w:before="0" w:after="200" w:line="240" w:lineRule="auto"/>
        <w:jc w:val="center"/>
      </w:pPr>
      <w:bookmarkStart w:id="1077" w:name="_Fig_7_4"/>
      <w:r>
        <w:rPr>
          <w:rFonts w:ascii="Times New Roman" w:hAnsi="Times New Roman" w:cs="Times New Roman" w:eastAsia="Times New Roman"/>
          <w:b/>
          <w:bCs/>
          <w:sz w:val="20"/>
          <w:szCs w:val="20"/>
        </w:rPr>
        <w:t xml:space="preserve">Figure 7.4: </w:t>
      </w:r>
      <w:r>
        <w:rPr>
          <w:rFonts w:ascii="Times New Roman" w:hAnsi="Times New Roman" w:cs="Times New Roman" w:eastAsia="Times New Roman"/>
          <w:sz w:val="20"/>
          <w:szCs w:val="20"/>
        </w:rPr>
        <w:t xml:space="preserve">Entity ranking agreement from a denormalised flat export</w:t>
      </w:r>
      <w:bookmarkEnd w:id="1077"/>
    </w:p>
    <w:p>
      <w:pPr>
        <w:spacing w:before="0" w:after="120" w:line="276" w:lineRule="auto"/>
        <w:jc w:val="both"/>
      </w:pPr>
      <w:r>
        <w:rPr>
          <w:rFonts w:ascii="Times New Roman" w:hAnsi="Times New Roman" w:cs="Times New Roman" w:eastAsia="Times New Roman"/>
          <w:sz w:val="24"/>
          <w:szCs w:val="24"/>
        </w:rPr>
        <w:t xml:space="preserve">Directly-follows edges show a smaller effect, but a real one. Angular has the largest duplication of event pairs (74 copies for the branch case notion). Where nested children exist, some flat edges join events that sit next to each other in the flat log but have nothing to do with each other in the data. Those spurious edges make up at most 27.7% in Age of Empires II and 16.6% in OULAD.</w:t>
      </w:r>
    </w:p>
    <w:p>
      <w:pPr>
        <w:keepNext/>
        <w:spacing w:before="120" w:after="60" w:line="240" w:lineRule="auto"/>
        <w:jc w:val="center"/>
      </w:pPr>
      <w:r>
        <w:drawing>
          <wp:inline distT="0" distB="0" distL="0" distR="0">
            <wp:extent cx="4937760" cy="2674620"/>
            <wp:docPr id="513" name="Figure 7.5" descr="Spurious directly-follows edges, worst case notion per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spurious.png"/>
                    <pic:cNvPicPr/>
                  </pic:nvPicPr>
                  <pic:blipFill>
                    <a:blip r:embed="rIdImg13"/>
                    <a:stretch>
                      <a:fillRect/>
                    </a:stretch>
                  </pic:blipFill>
                  <pic:spPr>
                    <a:xfrm>
                      <a:off x="0" y="0"/>
                      <a:ext cx="4937760" cy="2674620"/>
                    </a:xfrm>
                    <a:prstGeom prst="rect">
                      <a:avLst/>
                    </a:prstGeom>
                  </pic:spPr>
                </pic:pic>
              </a:graphicData>
            </a:graphic>
          </wp:inline>
        </w:drawing>
      </w:r>
    </w:p>
    <w:p>
      <w:pPr>
        <w:spacing w:before="0" w:after="200" w:line="240" w:lineRule="auto"/>
        <w:jc w:val="center"/>
      </w:pPr>
      <w:bookmarkStart w:id="1078" w:name="_Fig_7_5"/>
      <w:r>
        <w:rPr>
          <w:rFonts w:ascii="Times New Roman" w:hAnsi="Times New Roman" w:cs="Times New Roman" w:eastAsia="Times New Roman"/>
          <w:b/>
          <w:bCs/>
          <w:sz w:val="20"/>
          <w:szCs w:val="20"/>
        </w:rPr>
        <w:t xml:space="preserve">Figure 7.5: </w:t>
      </w:r>
      <w:r>
        <w:rPr>
          <w:rFonts w:ascii="Times New Roman" w:hAnsi="Times New Roman" w:cs="Times New Roman" w:eastAsia="Times New Roman"/>
          <w:sz w:val="20"/>
          <w:szCs w:val="20"/>
        </w:rPr>
        <w:t xml:space="preserve">Spurious directly-follows edges, worst case notion per log</w:t>
      </w:r>
      <w:bookmarkEnd w:id="1078"/>
    </w:p>
    <w:p>
      <w:pPr>
        <w:keepNext/>
        <w:spacing w:before="200" w:after="100" w:line="276" w:lineRule="auto"/>
        <w:outlineLvl w:val="1"/>
      </w:pPr>
      <w:bookmarkStart w:id="1079" w:name="_Toc_7_4"/>
      <w:r>
        <w:rPr>
          <w:rFonts w:ascii="Times New Roman" w:hAnsi="Times New Roman" w:cs="Times New Roman" w:eastAsia="Times New Roman"/>
          <w:b/>
          <w:bCs/>
          <w:sz w:val="24"/>
          <w:szCs w:val="24"/>
        </w:rPr>
        <w:t xml:space="preserve">7.4  Discussion</w:t>
      </w:r>
      <w:bookmarkEnd w:id="1079"/>
    </w:p>
    <w:p>
      <w:pPr>
        <w:spacing w:before="0" w:after="120" w:line="276" w:lineRule="auto"/>
        <w:jc w:val="both"/>
      </w:pPr>
      <w:r>
        <w:rPr>
          <w:rFonts w:ascii="Times New Roman" w:hAnsi="Times New Roman" w:cs="Times New Roman" w:eastAsia="Times New Roman"/>
          <w:sz w:val="24"/>
          <w:szCs w:val="24"/>
        </w:rPr>
        <w:t xml:space="preserve">Our starting guess was that flattening mostly duplicates events. The data disagreed. Duplication is large in only two of the seven logs. What shows up everywhere is that one case notion sees only part of the process, and a flat log gives no hint of what's missing.</w:t>
      </w:r>
    </w:p>
    <w:p>
      <w:pPr>
        <w:spacing w:before="0" w:after="120" w:line="276" w:lineRule="auto"/>
        <w:jc w:val="both"/>
      </w:pPr>
      <w:r>
        <w:rPr>
          <w:rFonts w:ascii="Times New Roman" w:hAnsi="Times New Roman" w:cs="Times New Roman" w:eastAsia="Times New Roman"/>
          <w:sz w:val="24"/>
          <w:szCs w:val="24"/>
        </w:rPr>
        <w:t xml:space="preserve">So what does this mean for the capstone? All we have is a hypothesis, since there's no portal data. The portal's documented audit log relates each action to one project and to the person who acted. If real data has that shape, flattening on the project would copy few events, but it would hide how one guide's reviews spread across many projects, and it would hide the people. That's the narrowing pattern, not the duplication pattern. The next step is to test this on a de-identified portal log. Until then we make no claim about the portal.</w:t>
      </w:r>
    </w:p>
    <w:p>
      <w:pPr>
        <w:keepNext/>
        <w:spacing w:before="140" w:after="80" w:line="276" w:lineRule="auto"/>
        <w:outlineLvl w:val="2"/>
      </w:pPr>
      <w:bookmarkStart w:id="1080" w:name="_Toc_7_4_1"/>
      <w:r>
        <w:rPr>
          <w:rFonts w:ascii="Times New Roman" w:hAnsi="Times New Roman" w:cs="Times New Roman" w:eastAsia="Times New Roman"/>
          <w:b/>
          <w:bCs/>
          <w:i/>
          <w:iCs/>
          <w:sz w:val="24"/>
          <w:szCs w:val="24"/>
        </w:rPr>
        <w:t xml:space="preserve">7.4.1  Threats to Validity</w:t>
      </w:r>
      <w:bookmarkEnd w:id="1080"/>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Seven logs from five domains: the three regimes are descriptive, and we don't claim they're exhaustive.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Our choices: case notions are object types (and roles for Enron), and the thresholds for nested children and for the minimum case-notion size are ours, written in the code.</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window of Ethereum: those results come from a contiguous window of 300,000 events.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 data-quality flag in Enron: about 0.1% of the events (72) have timestamps before 1990, which is odd for a 1998 to 2002 corpus. We left them in.</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Checks by us: the independent implementations are independent of the code under test, not of the team, and nobody outside the team labelled the findings.</w:t>
      </w:r>
    </w:p>
    <w:p>
      <w:pPr>
        <w:keepNext/>
        <w:spacing w:before="200" w:after="100" w:line="276" w:lineRule="auto"/>
        <w:outlineLvl w:val="1"/>
      </w:pPr>
      <w:bookmarkStart w:id="1081" w:name="_Toc_7_5"/>
      <w:r>
        <w:rPr>
          <w:rFonts w:ascii="Times New Roman" w:hAnsi="Times New Roman" w:cs="Times New Roman" w:eastAsia="Times New Roman"/>
          <w:b/>
          <w:bCs/>
          <w:sz w:val="24"/>
          <w:szCs w:val="24"/>
        </w:rPr>
        <w:t xml:space="preserve">7.5  Cost Analysis</w:t>
      </w:r>
      <w:bookmarkEnd w:id="1081"/>
    </w:p>
    <w:p>
      <w:pPr>
        <w:spacing w:before="0" w:after="120" w:line="276" w:lineRule="auto"/>
        <w:jc w:val="both"/>
      </w:pPr>
      <w:r>
        <w:rPr>
          <w:rFonts w:ascii="Times New Roman" w:hAnsi="Times New Roman" w:cs="Times New Roman" w:eastAsia="Times New Roman"/>
          <w:sz w:val="24"/>
          <w:szCs w:val="24"/>
        </w:rPr>
        <w:t xml:space="preserve">By cost we mean the money and effort to produce or reproduce the study. Table 7.4 sums it up.</w:t>
      </w:r>
    </w:p>
    <w:p>
      <w:pPr>
        <w:keepNext/>
        <w:spacing w:before="160" w:after="80" w:line="240" w:lineRule="auto"/>
        <w:jc w:val="center"/>
      </w:pPr>
      <w:bookmarkStart w:id="1082" w:name="_Tab_7_4"/>
      <w:r>
        <w:rPr>
          <w:rFonts w:ascii="Times New Roman" w:hAnsi="Times New Roman" w:cs="Times New Roman" w:eastAsia="Times New Roman"/>
          <w:b/>
          <w:bCs/>
          <w:sz w:val="20"/>
          <w:szCs w:val="20"/>
        </w:rPr>
        <w:t xml:space="preserve">Table 7.4: </w:t>
      </w:r>
      <w:r>
        <w:rPr>
          <w:rFonts w:ascii="Times New Roman" w:hAnsi="Times New Roman" w:cs="Times New Roman" w:eastAsia="Times New Roman"/>
          <w:sz w:val="20"/>
          <w:szCs w:val="20"/>
        </w:rPr>
        <w:t xml:space="preserve">Cost of producing and reproducing the study</w:t>
      </w:r>
      <w:bookmarkEnd w:id="1082"/>
    </w:p>
    <w:tbl>
      <w:tblPr>
        <w:tblW w:w="907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15"/>
        <w:gridCol w:w="3889"/>
        <w:gridCol w:w="3370"/>
      </w:tblGrid>
      <w:tr>
        <w:trPr>
          <w:cantSplit/>
          <w:tblHeader/>
        </w:trPr>
        <w:tc>
          <w:tcPr>
            <w:tcW w:w="1815"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Item</w:t>
            </w:r>
          </w:p>
        </w:tc>
        <w:tc>
          <w:tcPr>
            <w:tcW w:w="3889"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Producing the study</w:t>
            </w:r>
          </w:p>
        </w:tc>
        <w:tc>
          <w:tcPr>
            <w:tcW w:w="3370" w:type="dxa"/>
            <w:shd w:val="clear" w:color="auto" w:fill="D9D9D9"/>
            <w:vAlign w:val="center"/>
          </w:tcPr>
          <w:p>
            <w:pPr>
              <w:keepNext/>
              <w:spacing w:before="0" w:after="0" w:line="240" w:lineRule="auto"/>
              <w:jc w:val="center"/>
            </w:pPr>
            <w:r>
              <w:rPr>
                <w:rFonts w:ascii="Times New Roman" w:hAnsi="Times New Roman" w:cs="Times New Roman" w:eastAsia="Times New Roman"/>
                <w:b/>
                <w:bCs/>
                <w:sz w:val="18"/>
                <w:szCs w:val="18"/>
              </w:rPr>
              <w:t xml:space="preserve">Reproducing it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Data</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 data, CC BY 4.0)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About 350 MB download for the core set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Software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Nil (open-source libraries; </w:t>
            </w:r>
            <w:r>
              <w:rPr>
                <w:rFonts w:ascii="Courier New" w:hAnsi="Courier New" w:cs="Courier New" w:eastAsia="Courier New"/>
                <w:sz w:val="16"/>
                <w:szCs w:val="16"/>
              </w:rPr>
              <w:t xml:space="preserve">pm4py</w:t>
            </w:r>
            <w:r>
              <w:rPr>
                <w:rFonts w:ascii="Times New Roman" w:hAnsi="Times New Roman" w:cs="Times New Roman" w:eastAsia="Times New Roman"/>
                <w:sz w:val="18"/>
                <w:szCs w:val="18"/>
              </w:rPr>
              <w:t xml:space="preserve"> is AGPL-3.0)</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Python 3.14 and the pinned packages in </w:t>
            </w:r>
            <w:r>
              <w:rPr>
                <w:rFonts w:ascii="Courier New" w:hAnsi="Courier New" w:cs="Courier New" w:eastAsia="Courier New"/>
                <w:sz w:val="16"/>
                <w:szCs w:val="16"/>
              </w:rPr>
              <w:t xml:space="preserve">requirements.txt</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Hardware</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A laptop the team already owned (8 GiB memory)</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Any laptop with 8 GiB of memory or more</w:t>
            </w:r>
          </w:p>
        </w:tc>
      </w:tr>
      <w:tr>
        <w:trPr>
          <w:cantSplit/>
        </w:trPr>
        <w:tc>
          <w:tcPr>
            <w:tcW w:w="1815" w:type="dxa"/>
            <w:vAlign w:val="center"/>
          </w:tcPr>
          <w:p>
            <w:pPr>
              <w:keepNext/>
              <w:spacing w:before="0" w:after="0" w:line="240" w:lineRule="auto"/>
              <w:jc w:val="left"/>
            </w:pPr>
            <w:r>
              <w:rPr>
                <w:rFonts w:ascii="Times New Roman" w:hAnsi="Times New Roman" w:cs="Times New Roman" w:eastAsia="Times New Roman"/>
                <w:sz w:val="18"/>
                <w:szCs w:val="18"/>
              </w:rPr>
              <w:t xml:space="preserve">Cloud or paid services</w:t>
            </w:r>
          </w:p>
        </w:tc>
        <w:tc>
          <w:tcPr>
            <w:tcW w:w="3889"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c>
          <w:tcPr>
            <w:tcW w:w="3370" w:type="dxa"/>
            <w:vAlign w:val="center"/>
          </w:tcPr>
          <w:p>
            <w:pPr>
              <w:keepNext/>
              <w:spacing w:before="0" w:after="0" w:line="240" w:lineRule="auto"/>
              <w:jc w:val="left"/>
            </w:pPr>
            <w:r>
              <w:rPr>
                <w:rFonts w:ascii="Times New Roman" w:hAnsi="Times New Roman" w:cs="Times New Roman" w:eastAsia="Times New Roman"/>
                <w:sz w:val="18"/>
                <w:szCs w:val="18"/>
              </w:rPr>
              <w:t xml:space="preserve">None</w:t>
            </w:r>
          </w:p>
        </w:tc>
      </w:tr>
      <w:tr>
        <w:trPr>
          <w:cantSplit/>
        </w:trPr>
        <w:tc>
          <w:tcPr>
            <w:tcW w:w="1815" w:type="dxa"/>
            <w:vAlign w:val="center"/>
          </w:tcPr>
          <w:p>
            <w:pPr>
              <w:spacing w:before="0" w:after="0" w:line="240" w:lineRule="auto"/>
              <w:jc w:val="left"/>
            </w:pPr>
            <w:r>
              <w:rPr>
                <w:rFonts w:ascii="Times New Roman" w:hAnsi="Times New Roman" w:cs="Times New Roman" w:eastAsia="Times New Roman"/>
                <w:sz w:val="18"/>
                <w:szCs w:val="18"/>
              </w:rPr>
              <w:t xml:space="preserve">Run time</w:t>
            </w:r>
          </w:p>
        </w:tc>
        <w:tc>
          <w:tcPr>
            <w:tcW w:w="3889" w:type="dxa"/>
            <w:vAlign w:val="center"/>
          </w:tcPr>
          <w:p>
            <w:pPr>
              <w:spacing w:before="0" w:after="0" w:line="240" w:lineRule="auto"/>
              <w:jc w:val="left"/>
            </w:pPr>
            <w:r>
              <w:rPr>
                <w:rFonts w:ascii="Times New Roman" w:hAnsi="Times New Roman" w:cs="Times New Roman" w:eastAsia="Times New Roman"/>
                <w:sz w:val="18"/>
                <w:szCs w:val="18"/>
              </w:rPr>
              <w:t xml:space="preserve">Seconds to minutes per log</w:t>
            </w:r>
          </w:p>
        </w:tc>
        <w:tc>
          <w:tcPr>
            <w:tcW w:w="3370" w:type="dxa"/>
            <w:vAlign w:val="center"/>
          </w:tcPr>
          <w:p>
            <w:pPr>
              <w:spacing w:before="0" w:after="0" w:line="240" w:lineRule="auto"/>
              <w:jc w:val="left"/>
            </w:pPr>
            <w:r>
              <w:rPr>
                <w:rFonts w:ascii="Times New Roman" w:hAnsi="Times New Roman" w:cs="Times New Roman" w:eastAsia="Times New Roman"/>
                <w:sz w:val="18"/>
                <w:szCs w:val="18"/>
              </w:rPr>
              <w:t xml:space="preserve">About 4 to 10 seconds for the Enron log; </w:t>
            </w:r>
            <w:r>
              <w:rPr>
                <w:rFonts w:ascii="Courier New" w:hAnsi="Courier New" w:cs="Courier New" w:eastAsia="Courier New"/>
                <w:sz w:val="16"/>
                <w:szCs w:val="16"/>
              </w:rPr>
              <w:t xml:space="preserve">make study</w:t>
            </w:r>
            <w:r>
              <w:rPr>
                <w:rFonts w:ascii="Times New Roman" w:hAnsi="Times New Roman" w:cs="Times New Roman" w:eastAsia="Times New Roman"/>
                <w:sz w:val="18"/>
                <w:szCs w:val="18"/>
              </w:rPr>
              <w:t xml:space="preserve"> for all seven logs took 5 minutes 11 seconds</w:t>
            </w:r>
          </w:p>
        </w:tc>
      </w:tr>
    </w:tbl>
    <w:p>
      <w:pPr>
        <w:spacing w:before="0" w:after="120" w:line="240" w:lineRule="auto"/>
      </w:pPr>
    </w:p>
    <w:p>
      <w:pPr>
        <w:spacing w:before="0" w:after="120" w:line="276" w:lineRule="auto"/>
        <w:jc w:val="both"/>
      </w:pPr>
      <w:r>
        <w:rPr>
          <w:rFonts w:ascii="Times New Roman" w:hAnsi="Times New Roman" w:cs="Times New Roman" w:eastAsia="Times New Roman"/>
          <w:sz w:val="24"/>
          <w:szCs w:val="24"/>
        </w:rPr>
        <w:t xml:space="preserve">The real cost is our time and the effort that went into verification. In money it's nil.</w:t>
      </w:r>
    </w:p>
    <w:p>
      <w:pPr>
        <w:keepNext/>
        <w:pageBreakBefore/>
        <w:spacing w:before="0" w:after="60" w:line="276" w:lineRule="auto"/>
        <w:jc w:val="center"/>
      </w:pPr>
      <w:r>
        <w:rPr>
          <w:rFonts w:ascii="Times New Roman" w:hAnsi="Times New Roman" w:cs="Times New Roman" w:eastAsia="Times New Roman"/>
          <w:b/>
          <w:bCs/>
          <w:sz w:val="28"/>
          <w:szCs w:val="28"/>
        </w:rPr>
        <w:t xml:space="preserve">CHAPTER 8</w:t>
      </w:r>
    </w:p>
    <w:p>
      <w:pPr>
        <w:keepNext/>
        <w:spacing w:before="0" w:after="240" w:line="276" w:lineRule="auto"/>
        <w:jc w:val="center"/>
        <w:outlineLvl w:val="0"/>
      </w:pPr>
      <w:bookmarkStart w:id="1083" w:name="_Toc_ch8"/>
      <w:r>
        <w:rPr>
          <w:rFonts w:ascii="Times New Roman" w:hAnsi="Times New Roman" w:cs="Times New Roman" w:eastAsia="Times New Roman"/>
          <w:b/>
          <w:bCs/>
          <w:sz w:val="28"/>
          <w:szCs w:val="28"/>
        </w:rPr>
        <w:t xml:space="preserve">CONCLUSION</w:t>
      </w:r>
      <w:bookmarkEnd w:id="1083"/>
    </w:p>
    <w:p>
      <w:pPr>
        <w:spacing w:before="0" w:after="120" w:line="276" w:lineRule="auto"/>
        <w:jc w:val="both"/>
      </w:pPr>
      <w:r>
        <w:rPr>
          <w:rFonts w:ascii="Times New Roman" w:hAnsi="Times New Roman" w:cs="Times New Roman" w:eastAsia="Times New Roman"/>
          <w:sz w:val="24"/>
          <w:szCs w:val="24"/>
        </w:rPr>
        <w:t xml:space="preserve">We set out to study capstone review processes with OCEL 2.0. Portal logs weren't available, so the project turned into two things: a documented OCEL 2.0 design of the capstone lifecycle, and a measurement of what flattening does on seven real public logs. Here is what we conclude.</w:t>
      </w:r>
    </w:p>
    <w:p>
      <w:pPr>
        <w:spacing w:before="0" w:after="120" w:line="276" w:lineRule="auto"/>
        <w:jc w:val="both"/>
      </w:pPr>
      <w:r>
        <w:rPr>
          <w:rFonts w:ascii="Times New Roman" w:hAnsi="Times New Roman" w:cs="Times New Roman" w:eastAsia="Times New Roman"/>
          <w:sz w:val="24"/>
          <w:szCs w:val="24"/>
        </w:rPr>
        <w:t xml:space="preserve">Number one, a reproducible, checked pipeline exists. It downloads and verifies seven public logs, converts two of them to OCEL 2.0, computes distortion metrics for 38 case notions and compares standard outputs between flat and object-centric views. Independent SQL, brute-force and raw-file checks agree with the parts they cover, and they caught three bugs of our own, which we fixed.</w:t>
      </w:r>
    </w:p>
    <w:p>
      <w:pPr>
        <w:spacing w:before="0" w:after="120" w:line="276" w:lineRule="auto"/>
        <w:jc w:val="both"/>
      </w:pPr>
      <w:r>
        <w:rPr>
          <w:rFonts w:ascii="Times New Roman" w:hAnsi="Times New Roman" w:cs="Times New Roman" w:eastAsia="Times New Roman"/>
          <w:sz w:val="24"/>
          <w:szCs w:val="24"/>
        </w:rPr>
        <w:t xml:space="preserve">Number two, flattening doesn't mainly duplicate events. Duplication is large only in the fan-out logs, up to 81.65 copies of an event in Angular, and only 2 of 38 case notions fall below a rank correlation of 0.95 because of duplication alone.</w:t>
      </w:r>
    </w:p>
    <w:p>
      <w:pPr>
        <w:spacing w:before="0" w:after="120" w:line="276" w:lineRule="auto"/>
        <w:jc w:val="both"/>
      </w:pPr>
      <w:r>
        <w:rPr>
          <w:rFonts w:ascii="Times New Roman" w:hAnsi="Times New Roman" w:cs="Times New Roman" w:eastAsia="Times New Roman"/>
          <w:sz w:val="24"/>
          <w:szCs w:val="24"/>
        </w:rPr>
        <w:t xml:space="preserve">Number three, the bigger effect is narrowing. In 20 of 38 case notions the flat log shows fewer than half of the process's activities, and in the partitioned logs one case notion drops 69% to 91% of the events.</w:t>
      </w:r>
    </w:p>
    <w:p>
      <w:pPr>
        <w:spacing w:before="0" w:after="120" w:line="276" w:lineRule="auto"/>
        <w:jc w:val="both"/>
      </w:pPr>
      <w:r>
        <w:rPr>
          <w:rFonts w:ascii="Times New Roman" w:hAnsi="Times New Roman" w:cs="Times New Roman" w:eastAsia="Times New Roman"/>
          <w:sz w:val="24"/>
          <w:szCs w:val="24"/>
        </w:rPr>
        <w:t xml:space="preserve">Number four, careless counting from a flat export can mislead badly. Worst-case entity rankings reach a rank correlation of 0.16 (Enron), -0.01 (Ethereum) and -0.41 (Age of Empires II).</w:t>
      </w:r>
    </w:p>
    <w:p>
      <w:pPr>
        <w:spacing w:before="0" w:after="120" w:line="276" w:lineRule="auto"/>
        <w:jc w:val="both"/>
      </w:pPr>
      <w:r>
        <w:rPr>
          <w:rFonts w:ascii="Times New Roman" w:hAnsi="Times New Roman" w:cs="Times New Roman" w:eastAsia="Times New Roman"/>
          <w:sz w:val="24"/>
          <w:szCs w:val="24"/>
        </w:rPr>
        <w:t xml:space="preserve">Number five, the capstone model is a design. We couldn't test it on portal data, and we claim nothing about how real capstone teams behave.</w:t>
      </w:r>
    </w:p>
    <w:p>
      <w:pPr>
        <w:keepNext/>
        <w:spacing w:before="200" w:after="100" w:line="276" w:lineRule="auto"/>
        <w:outlineLvl w:val="1"/>
      </w:pPr>
      <w:bookmarkStart w:id="1084" w:name="_Toc_8_1"/>
      <w:r>
        <w:rPr>
          <w:rFonts w:ascii="Times New Roman" w:hAnsi="Times New Roman" w:cs="Times New Roman" w:eastAsia="Times New Roman"/>
          <w:b/>
          <w:bCs/>
          <w:sz w:val="24"/>
          <w:szCs w:val="24"/>
        </w:rPr>
        <w:t xml:space="preserve">8.1  Limitations</w:t>
      </w:r>
      <w:bookmarkEnd w:id="1084"/>
    </w:p>
    <w:p>
      <w:pPr>
        <w:spacing w:before="0" w:after="120" w:line="276" w:lineRule="auto"/>
        <w:jc w:val="both"/>
      </w:pPr>
      <w:r>
        <w:rPr>
          <w:rFonts w:ascii="Times New Roman" w:hAnsi="Times New Roman" w:cs="Times New Roman" w:eastAsia="Times New Roman"/>
          <w:sz w:val="24"/>
          <w:szCs w:val="24"/>
        </w:rPr>
        <w:t xml:space="preserve">We have seven logs from five domains, and one of them is a window. The thresholds are ours. The checks are independent of the code under test but not of the team, nobody outside the team has labelled the findings, and the distortion metrics have no second implementation. The rule-based engine covers eleven rules on two logs, and we use it for no conclusion.</w:t>
      </w:r>
    </w:p>
    <w:p>
      <w:pPr>
        <w:keepNext/>
        <w:spacing w:before="200" w:after="100" w:line="276" w:lineRule="auto"/>
        <w:outlineLvl w:val="1"/>
      </w:pPr>
      <w:bookmarkStart w:id="1085" w:name="_Toc_8_2"/>
      <w:r>
        <w:rPr>
          <w:rFonts w:ascii="Times New Roman" w:hAnsi="Times New Roman" w:cs="Times New Roman" w:eastAsia="Times New Roman"/>
          <w:b/>
          <w:bCs/>
          <w:sz w:val="24"/>
          <w:szCs w:val="24"/>
        </w:rPr>
        <w:t xml:space="preserve">8.2  Future Work</w:t>
      </w:r>
      <w:bookmarkEnd w:id="1085"/>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Get independent two-rater labelling of the real-data findings.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Compare process-discovery quality and predictive monitoring between flat and object-centric logs.</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Add two or three more real logs, for example BPI 2019.</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Build a portal adapter from the audit log to OCEL 2.0, once de-identified logs are approved.</w:t>
      </w:r>
    </w:p>
    <w:p>
      <w:pPr>
        <w:numPr>
          <w:ilvl w:val="0"/>
          <w:numId w:val="90"/>
        </w:numPr>
        <w:spacing w:before="0" w:after="60" w:line="276" w:lineRule="auto"/>
        <w:ind w:left="720" w:hanging="360"/>
        <w:jc w:val="both"/>
      </w:pPr>
      <w:r>
        <w:rPr>
          <w:rFonts w:ascii="Times New Roman" w:hAnsi="Times New Roman" w:cs="Times New Roman" w:eastAsia="Times New Roman"/>
          <w:sz w:val="24"/>
          <w:szCs w:val="24"/>
        </w:rPr>
        <w:t xml:space="preserve">Finish the journal manuscript. A draft is in preparation. It hasn't been submitted, and we haven't chosen a venue.</w:t>
      </w:r>
    </w:p>
    <w:p>
      <w:pPr>
        <w:keepNext/>
        <w:pageBreakBefore/>
        <w:spacing w:before="0" w:after="240" w:line="276" w:lineRule="auto"/>
        <w:jc w:val="center"/>
        <w:outlineLvl w:val="0"/>
      </w:pPr>
      <w:bookmarkStart w:id="1086" w:name="_Toc_refs"/>
      <w:r>
        <w:rPr>
          <w:rFonts w:ascii="Times New Roman" w:hAnsi="Times New Roman" w:cs="Times New Roman" w:eastAsia="Times New Roman"/>
          <w:b/>
          <w:bCs/>
          <w:sz w:val="28"/>
          <w:szCs w:val="28"/>
        </w:rPr>
        <w:t xml:space="preserve">REFERENCES</w:t>
      </w:r>
      <w:bookmarkEnd w:id="1086"/>
    </w:p>
    <w:p>
      <w:pPr>
        <w:spacing w:before="0" w:after="160" w:line="276" w:lineRule="auto"/>
        <w:jc w:val="left"/>
      </w:pPr>
      <w:r>
        <w:rPr>
          <w:rFonts w:ascii="Times New Roman" w:hAnsi="Times New Roman" w:cs="Times New Roman" w:eastAsia="Times New Roman"/>
          <w:i/>
          <w:iCs/>
          <w:sz w:val="22"/>
          <w:szCs w:val="22"/>
        </w:rPr>
        <w:t xml:space="preserve">The references follow the IEEE numeric style, numbered in the order in which they are first cited.</w:t>
      </w:r>
    </w:p>
    <w:p>
      <w:pPr>
        <w:spacing w:before="0" w:after="100" w:line="276" w:lineRule="auto"/>
        <w:ind w:left="567" w:hanging="567"/>
        <w:jc w:val="both"/>
      </w:pPr>
      <w:r>
        <w:rPr>
          <w:rFonts w:ascii="Times New Roman" w:hAnsi="Times New Roman" w:cs="Times New Roman" w:eastAsia="Times New Roman"/>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M. P. van der Aalst, "Object-centric process mining: Dealing with divergence and convergence in event data," in </w:t>
      </w:r>
      <w:r>
        <w:rPr>
          <w:rFonts w:ascii="Times New Roman" w:hAnsi="Times New Roman" w:cs="Times New Roman" w:eastAsia="Times New Roman"/>
          <w:i/>
          <w:iCs/>
          <w:sz w:val="24"/>
          <w:szCs w:val="24"/>
        </w:rPr>
        <w:t xml:space="preserve">Software Engineering and Formal Methods (SEFM)</w:t>
      </w:r>
      <w:r>
        <w:rPr>
          <w:rFonts w:ascii="Times New Roman" w:hAnsi="Times New Roman" w:cs="Times New Roman" w:eastAsia="Times New Roman"/>
          <w:sz w:val="24"/>
          <w:szCs w:val="24"/>
        </w:rPr>
        <w:t xml:space="preserve">, Lecture Notes in Computer Science. Springer, 2019, pp. 3-25.</w:t>
      </w:r>
    </w:p>
    <w:p>
      <w:pPr>
        <w:spacing w:before="0" w:after="100" w:line="276" w:lineRule="auto"/>
        <w:ind w:left="567" w:hanging="567"/>
        <w:jc w:val="both"/>
      </w:pPr>
      <w:r>
        <w:rPr>
          <w:rFonts w:ascii="Times New Roman" w:hAnsi="Times New Roman" w:cs="Times New Roman" w:eastAsia="Times New Roman"/>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Berti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"OCEL (Object-Centric Event Log) 2.0 specification," arXiv:2403.01975, 2024.</w:t>
      </w:r>
    </w:p>
    <w:p>
      <w:pPr>
        <w:spacing w:before="0" w:after="100" w:line="276" w:lineRule="auto"/>
        <w:ind w:left="567" w:hanging="567"/>
        <w:jc w:val="both"/>
      </w:pPr>
      <w:r>
        <w:rPr>
          <w:rFonts w:ascii="Times New Roman" w:hAnsi="Times New Roman" w:cs="Times New Roman" w:eastAsia="Times New Roman"/>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G. Park, and W. M. P. van der Aalst, "Preserving complex object-centric graph structures to improve machine learning tasks in process mining," </w:t>
      </w:r>
      <w:r>
        <w:rPr>
          <w:rFonts w:ascii="Times New Roman" w:hAnsi="Times New Roman" w:cs="Times New Roman" w:eastAsia="Times New Roman"/>
          <w:i/>
          <w:iCs/>
          <w:sz w:val="24"/>
          <w:szCs w:val="24"/>
        </w:rPr>
        <w:t xml:space="preserve">Engineering Applications of Artificial Intelligence</w:t>
      </w:r>
      <w:r>
        <w:rPr>
          <w:rFonts w:ascii="Times New Roman" w:hAnsi="Times New Roman" w:cs="Times New Roman" w:eastAsia="Times New Roman"/>
          <w:sz w:val="24"/>
          <w:szCs w:val="24"/>
        </w:rPr>
        <w:t xml:space="preserve">, vol. 125, p. 106764, 2023.</w:t>
      </w:r>
    </w:p>
    <w:p>
      <w:pPr>
        <w:spacing w:before="0" w:after="100" w:line="276" w:lineRule="auto"/>
        <w:ind w:left="567" w:hanging="567"/>
        <w:jc w:val="both"/>
      </w:pPr>
      <w:r>
        <w:rPr>
          <w:rFonts w:ascii="Times New Roman" w:hAnsi="Times New Roman" w:cs="Times New Roman" w:eastAsia="Times New Roman"/>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N. Adams and W. M. P. van der Aalst, "Addressing convergence, divergence, and deficiency issues," Lecture Notes in Business Information Processing. Springer, 2024.</w:t>
      </w:r>
    </w:p>
    <w:p>
      <w:pPr>
        <w:spacing w:before="0" w:after="100" w:line="276" w:lineRule="auto"/>
        <w:ind w:left="567" w:hanging="567"/>
        <w:jc w:val="both"/>
      </w:pPr>
      <w:r>
        <w:rPr>
          <w:rFonts w:ascii="Times New Roman" w:hAnsi="Times New Roman" w:cs="Times New Roman" w:eastAsia="Times New Roman"/>
          <w:sz w:val="24"/>
          <w:szCs w:val="24"/>
        </w:rPr>
        <w:t xml:space="preserve">[5]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 Waibel, L. Pfahlsberger, K. Revoredo, and J. Mendling, "Causal process mining from relational databases with domain knowledge," arXiv:2202.08314, 2022.</w:t>
      </w:r>
    </w:p>
    <w:p>
      <w:pPr>
        <w:spacing w:before="0" w:after="100" w:line="276" w:lineRule="auto"/>
        <w:ind w:left="567" w:hanging="567"/>
        <w:jc w:val="both"/>
      </w:pPr>
      <w:r>
        <w:rPr>
          <w:rFonts w:ascii="Times New Roman" w:hAnsi="Times New Roman" w:cs="Times New Roman" w:eastAsia="Times New Roman"/>
          <w:sz w:val="24"/>
          <w:szCs w:val="24"/>
        </w:rPr>
        <w:t xml:space="preserve">[6]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Kabierski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"Data quality in object-centric event data: Issues classification and evaluation," </w:t>
      </w:r>
      <w:r>
        <w:rPr>
          <w:rFonts w:ascii="Times New Roman" w:hAnsi="Times New Roman" w:cs="Times New Roman" w:eastAsia="Times New Roman"/>
          <w:i/>
          <w:iCs/>
          <w:sz w:val="24"/>
          <w:szCs w:val="24"/>
        </w:rPr>
        <w:t xml:space="preserve">Process Science</w:t>
      </w:r>
      <w:r>
        <w:rPr>
          <w:rFonts w:ascii="Times New Roman" w:hAnsi="Times New Roman" w:cs="Times New Roman" w:eastAsia="Times New Roman"/>
          <w:sz w:val="24"/>
          <w:szCs w:val="24"/>
        </w:rPr>
        <w:t xml:space="preserve">, vol. 3, 2026.</w:t>
      </w:r>
    </w:p>
    <w:p>
      <w:pPr>
        <w:spacing w:before="0" w:after="100" w:line="276" w:lineRule="auto"/>
        <w:ind w:left="567" w:hanging="567"/>
        <w:jc w:val="both"/>
      </w:pPr>
      <w:r>
        <w:rPr>
          <w:rFonts w:ascii="Times New Roman" w:hAnsi="Times New Roman" w:cs="Times New Roman" w:eastAsia="Times New Roman"/>
          <w:sz w:val="24"/>
          <w:szCs w:val="24"/>
        </w:rPr>
        <w:t xml:space="preserve">[7]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 Miri, S. Khayatbashi, J. Zdravkovic, and A. Jalali, "An object-centric approach to multi-entity educational process mining," </w:t>
      </w:r>
      <w:r>
        <w:rPr>
          <w:rFonts w:ascii="Times New Roman" w:hAnsi="Times New Roman" w:cs="Times New Roman" w:eastAsia="Times New Roman"/>
          <w:i/>
          <w:iCs/>
          <w:sz w:val="24"/>
          <w:szCs w:val="24"/>
        </w:rPr>
        <w:t xml:space="preserve">Decision Analytics Journal</w:t>
      </w:r>
      <w:r>
        <w:rPr>
          <w:rFonts w:ascii="Times New Roman" w:hAnsi="Times New Roman" w:cs="Times New Roman" w:eastAsia="Times New Roman"/>
          <w:sz w:val="24"/>
          <w:szCs w:val="24"/>
        </w:rPr>
        <w:t xml:space="preserve">, vol. 19, p. 100724, 2026.</w:t>
      </w:r>
    </w:p>
    <w:p>
      <w:pPr>
        <w:spacing w:before="0" w:after="100" w:line="276" w:lineRule="auto"/>
        <w:ind w:left="567" w:hanging="567"/>
        <w:jc w:val="both"/>
      </w:pPr>
      <w:r>
        <w:rPr>
          <w:rFonts w:ascii="Times New Roman" w:hAnsi="Times New Roman" w:cs="Times New Roman" w:eastAsia="Times New Roman"/>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J. Kuzilek, M. Hlosta, and Z. Zdrahal, "Open University Learning Analytics dataset," </w:t>
      </w:r>
      <w:r>
        <w:rPr>
          <w:rFonts w:ascii="Times New Roman" w:hAnsi="Times New Roman" w:cs="Times New Roman" w:eastAsia="Times New Roman"/>
          <w:i/>
          <w:iCs/>
          <w:sz w:val="24"/>
          <w:szCs w:val="24"/>
        </w:rPr>
        <w:t xml:space="preserve">Scientific Data</w:t>
      </w:r>
      <w:r>
        <w:rPr>
          <w:rFonts w:ascii="Times New Roman" w:hAnsi="Times New Roman" w:cs="Times New Roman" w:eastAsia="Times New Roman"/>
          <w:sz w:val="24"/>
          <w:szCs w:val="24"/>
        </w:rPr>
        <w:t xml:space="preserve">, vol. 4, p. 170171, 2017.</w:t>
      </w:r>
    </w:p>
    <w:p>
      <w:pPr>
        <w:spacing w:before="0" w:after="100" w:line="276" w:lineRule="auto"/>
        <w:ind w:left="567" w:hanging="567"/>
        <w:jc w:val="both"/>
      </w:pPr>
      <w:r>
        <w:rPr>
          <w:rFonts w:ascii="Times New Roman" w:hAnsi="Times New Roman" w:cs="Times New Roman" w:eastAsia="Times New Roman"/>
          <w:sz w:val="24"/>
          <w:szCs w:val="24"/>
        </w:rPr>
        <w:t xml:space="preserve">[9]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 Paixao, J. Krinke, D. Han, and M. Harman, "CROP: Linking code reviews to source code changes," in </w:t>
      </w:r>
      <w:r>
        <w:rPr>
          <w:rFonts w:ascii="Times New Roman" w:hAnsi="Times New Roman" w:cs="Times New Roman" w:eastAsia="Times New Roman"/>
          <w:i/>
          <w:iCs/>
          <w:sz w:val="24"/>
          <w:szCs w:val="24"/>
        </w:rPr>
        <w:t xml:space="preserve">Proc. Mining Software Repositories (MSR)</w:t>
      </w:r>
      <w:r>
        <w:rPr>
          <w:rFonts w:ascii="Times New Roman" w:hAnsi="Times New Roman" w:cs="Times New Roman" w:eastAsia="Times New Roman"/>
          <w:sz w:val="24"/>
          <w:szCs w:val="24"/>
        </w:rPr>
        <w:t xml:space="preserve">, 2018.</w:t>
      </w:r>
    </w:p>
    <w:p>
      <w:pPr>
        <w:spacing w:before="0" w:after="100" w:line="276" w:lineRule="auto"/>
        <w:ind w:left="567" w:hanging="567"/>
        <w:jc w:val="both"/>
      </w:pP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 Hassani </w:t>
      </w:r>
      <w:r>
        <w:rPr>
          <w:rFonts w:ascii="Times New Roman" w:hAnsi="Times New Roman" w:cs="Times New Roman" w:eastAsia="Times New Roman"/>
          <w:i/>
          <w:iCs/>
          <w:sz w:val="24"/>
          <w:szCs w:val="24"/>
        </w:rPr>
        <w:t xml:space="preserve">et al.</w:t>
      </w:r>
      <w:r>
        <w:rPr>
          <w:rFonts w:ascii="Times New Roman" w:hAnsi="Times New Roman" w:cs="Times New Roman" w:eastAsia="Times New Roman"/>
          <w:sz w:val="24"/>
          <w:szCs w:val="24"/>
        </w:rPr>
        <w:t xml:space="preserve">, "Supervision of undergraduate final year projects in computing: A case study," </w:t>
      </w:r>
      <w:r>
        <w:rPr>
          <w:rFonts w:ascii="Times New Roman" w:hAnsi="Times New Roman" w:cs="Times New Roman" w:eastAsia="Times New Roman"/>
          <w:i/>
          <w:iCs/>
          <w:sz w:val="24"/>
          <w:szCs w:val="24"/>
        </w:rPr>
        <w:t xml:space="preserve">Education Sciences</w:t>
      </w:r>
      <w:r>
        <w:rPr>
          <w:rFonts w:ascii="Times New Roman" w:hAnsi="Times New Roman" w:cs="Times New Roman" w:eastAsia="Times New Roman"/>
          <w:sz w:val="24"/>
          <w:szCs w:val="24"/>
        </w:rPr>
        <w:t xml:space="preserve">, vol. 8, no. 4, p. 210, 2018.</w:t>
      </w:r>
    </w:p>
    <w:p>
      <w:pPr>
        <w:spacing w:before="0" w:after="100" w:line="276" w:lineRule="auto"/>
        <w:ind w:left="567" w:hanging="567"/>
        <w:jc w:val="both"/>
      </w:pPr>
      <w:r>
        <w:rPr>
          <w:rFonts w:ascii="Times New Roman" w:hAnsi="Times New Roman" w:cs="Times New Roman" w:eastAsia="Times New Roman"/>
          <w:sz w:val="24"/>
          <w:szCs w:val="24"/>
        </w:rPr>
        <w:t xml:space="preserve">[11]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 Premchaiswadi and P. Porouhan, "Process modeling and bottleneck mining in online peer-review systems," </w:t>
      </w:r>
      <w:r>
        <w:rPr>
          <w:rFonts w:ascii="Times New Roman" w:hAnsi="Times New Roman" w:cs="Times New Roman" w:eastAsia="Times New Roman"/>
          <w:i/>
          <w:iCs/>
          <w:sz w:val="24"/>
          <w:szCs w:val="24"/>
        </w:rPr>
        <w:t xml:space="preserve">SpringerPlus</w:t>
      </w:r>
      <w:r>
        <w:rPr>
          <w:rFonts w:ascii="Times New Roman" w:hAnsi="Times New Roman" w:cs="Times New Roman" w:eastAsia="Times New Roman"/>
          <w:sz w:val="24"/>
          <w:szCs w:val="24"/>
        </w:rPr>
        <w:t xml:space="preserve">, vol. 4, p. 441, 2015.</w:t>
      </w:r>
    </w:p>
    <w:p>
      <w:pPr>
        <w:spacing w:before="0" w:after="100" w:line="276" w:lineRule="auto"/>
        <w:ind w:left="567" w:hanging="567"/>
        <w:jc w:val="both"/>
      </w:pPr>
      <w:r>
        <w:rPr>
          <w:rFonts w:ascii="Times New Roman" w:hAnsi="Times New Roman" w:cs="Times New Roman" w:eastAsia="Times New Roman"/>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Datasets used (all CC BY 4.0): German Bundestag, Zenodo record 16811928 (H. Diers, V. Peeva, C. Rennert, W. M. P. van der Aalst); Enron e-mail OCEL, Zenodo 21989732 (A. Berti); Ethereum execution data, Zenodo 21989580 (A. Berti); Age of Empires II, Zenodo 13365584 (L. Liss, N. Elbert, C. M. Flath); Angular commits, Zenodo 8430332 (M. Pegoraro); CROP, Zenodo 3599150 (M. Paixao, J. Krinke, D. Han, M. Harman); OULAD, UCI Machine Learning Repository, doi:10.24432/C5KK69.</w:t>
      </w:r>
    </w:p>
    <w:p>
      <w:pPr>
        <w:keepNext/>
        <w:pageBreakBefore/>
        <w:spacing w:before="0" w:after="240" w:line="276" w:lineRule="auto"/>
        <w:jc w:val="center"/>
        <w:outlineLvl w:val="0"/>
      </w:pPr>
      <w:bookmarkStart w:id="1087" w:name="_Toc_appA"/>
      <w:r>
        <w:rPr>
          <w:rFonts w:ascii="Times New Roman" w:hAnsi="Times New Roman" w:cs="Times New Roman" w:eastAsia="Times New Roman"/>
          <w:b/>
          <w:bCs/>
          <w:sz w:val="28"/>
          <w:szCs w:val="28"/>
        </w:rPr>
        <w:t xml:space="preserve">APPENDIX A - SAMPLE CODE</w:t>
      </w:r>
      <w:bookmarkEnd w:id="1087"/>
    </w:p>
    <w:p>
      <w:pPr>
        <w:spacing w:before="0" w:after="160" w:line="276" w:lineRule="auto"/>
        <w:jc w:val="both"/>
      </w:pPr>
      <w:r>
        <w:rPr>
          <w:rFonts w:ascii="Times New Roman" w:hAnsi="Times New Roman" w:cs="Times New Roman" w:eastAsia="Times New Roman"/>
          <w:i/>
          <w:iCs/>
          <w:sz w:val="22"/>
          <w:szCs w:val="22"/>
        </w:rPr>
        <w:t xml:space="preserve">The listings are copied from the repository by a script, so they are the code that produced the results. Long lines are wrapped for printing, and file names are relative to the </w:t>
      </w:r>
      <w:r>
        <w:rPr>
          <w:rFonts w:ascii="Courier New" w:hAnsi="Courier New" w:cs="Courier New" w:eastAsia="Courier New"/>
          <w:sz w:val="20"/>
          <w:szCs w:val="20"/>
        </w:rPr>
        <w:t xml:space="preserve">realdata/src</w:t>
      </w:r>
      <w:r>
        <w:rPr>
          <w:rFonts w:ascii="Times New Roman" w:hAnsi="Times New Roman" w:cs="Times New Roman" w:eastAsia="Times New Roman"/>
          <w:i/>
          <w:iCs/>
          <w:sz w:val="22"/>
          <w:szCs w:val="22"/>
        </w:rPr>
        <w:t xml:space="preserve"> directory.</w:t>
      </w:r>
    </w:p>
    <w:p>
      <w:pPr>
        <w:keepNext/>
        <w:spacing w:before="100" w:after="60" w:line="276" w:lineRule="auto"/>
      </w:pPr>
      <w:r>
        <w:rPr>
          <w:rFonts w:ascii="Times New Roman" w:hAnsi="Times New Roman" w:cs="Times New Roman" w:eastAsia="Times New Roman"/>
          <w:b/>
          <w:bCs/>
          <w:sz w:val="24"/>
          <w:szCs w:val="24"/>
        </w:rPr>
        <w:t xml:space="preserve">A.1  Case-centric flattening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flatten(ocel: Ocel, case_type: str) -&gt; pd.DataFrame: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"""Case-centric flattening: one row per (event, object of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Mirrors pm4py's ``ocel_flattening``: events related to several objects of the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 type are repeated (convergence); events with none are dropped (deficiency);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only event-level attributes survive, never attributes or identities of other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objects.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 = rel.merge(ocel.events, on="eid", how="left").rename(columns={"oid":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flat.sort_values(["case_id", "timestamp", "eid"],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kind="stable").reset_index(drop=True)</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A.2  Deficiency, convergence and divergence (ocel_io.py)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flattening_stats(ocel: Ocel, case_type: str)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 convergence and divergence for one case notion."""</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n_events = len(ocel.events)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rel_t = ocel.relations[ocel.relations["otype"] == case_type][["eid",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covered = rel_t["eid"].nunique()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per_event = rel_t.groupby("eid")["oid"].nunique()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"case_type": case_type,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"cases": int(rel_t["oid"].nunique()),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"events": n_events,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"flat_rows": int(len(rel_t)),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"row_multiplier": round(len(rel_t) / n_events, 3)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"deficiency_share": round(1 - covered / n_events, 4) if n_events else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"convergence_share": round(float((per_event &gt; 1).mean()), 4) if covered else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Divergence: within a case, the same activity occurs &gt;= 2 times and the repeated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events differ in the set of objects of at least one other type.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other = ocel.relations[ocel.relations["otype"] != case_type][["eid", "otype",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"oid"]].drop_duplicates()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other.empty or rel_t.empty: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 = ocel.events[["eid", "activity"]]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rel_t.merge(act, on="eid")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reps = case_events.groupby(["oid", "activity"])["eid"].transform("count") &gt; 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case_events = case_events[reps]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case_events.empty: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0.0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total_pairs = case_events[["oid",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sig = (other.sort_values(["eid", "otype", "oid"]).groupby(["eid",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"otype"])["oid"].agg(lambda s: "|".join(s)).reset_index())</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merged = case_events.merge(sig, on="eid", how="left")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 = merged.groupby(["oid_x", "activity", "otype"])["oid_y"].nunique()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diverging_pairs = diverging[diverging &gt; 1].reset_index()[["oid_x",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"activity"]].drop_duplicates().shape[0]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stats["divergence_share"] = round(diverging_pairs / total_pairs,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stats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A.3  Rank agreement helpers (consequence.py)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spearman(a: np.ndarray, b: np.ndarray) -&gt; float |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len(a) &lt; 3 or np.ptp(a) == 0 or np.ptp(b) == 0:</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round(float(spearmanr(a, b).statistic),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topk_overlap(ref: np.ndarray, other: np.ndarray, k: int) -&gt; int: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"""Size of the intersection of the top-k index sets (ties broken by index,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deterministic)."""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k = min(k, len(ref))</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 = lambda x: set(np.lexsort((np.arange(len(x)), -x))[:k])  # noqa: E731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len(top(ref) &amp; top(other))</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variant_summary(seqs: pd.Series) -&gt; 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vc = seqs.value_counts()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{"cases": int(len(seqs)), "variants": int(len(vc)), "variants_per_case":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round(len(vc) / len(seqs), 4),</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"top10_variant_coverage": round(float(vc.head(10).sum() / len(seqs)), 4)}</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A.4  Integrity check on a Zenodo download (fetch_sources.py)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fetch_zenodo(src: dict, out_dir: Path) -&gt; list[dict]: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 = get_json(f"https://zenodo.org/api/records/{src['record']}")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index = {f["key"]: f for f in rec.get("files",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 =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name in src["files"]: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meta = index.get(name)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meta is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not listed in record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{src['record']}")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url = meta.get("links", {}).get("self") or f"https://zenodo.org/api/records/{src</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['record']}/files/{urllib.parse.quote(name)}/content"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 = out_dir / name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print(f"[{src['id']}] {name} ({meta['size'] / 1e6:.1f} MB) ...", flush=True)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md5, sha, size = stream(url, dest)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expected = meta.get("checksum", "").split(":", 1)[-1]</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size != meta["size"] or (expected and md5 !=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dest.unlink(missing_ok=True)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SystemExit(f"{src['id']}: {name} failed integrity check (size {size}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vs {meta['size']}, md5 {md5} vs {expected})")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rows.append({"file": name, "bytes": size, "sha256": sha, "md5_verified":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bool(expected)})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return rows</w:t>
      </w:r>
    </w:p>
    <w:p>
      <w:pPr>
        <w:spacing w:before="0" w:after="120" w:line="240" w:lineRule="auto"/>
      </w:pPr>
    </w:p>
    <w:p>
      <w:pPr>
        <w:keepNext/>
        <w:spacing w:before="100" w:after="60" w:line="276" w:lineRule="auto"/>
      </w:pPr>
      <w:r>
        <w:rPr>
          <w:rFonts w:ascii="Times New Roman" w:hAnsi="Times New Roman" w:cs="Times New Roman" w:eastAsia="Times New Roman"/>
          <w:b/>
          <w:bCs/>
          <w:sz w:val="24"/>
          <w:szCs w:val="24"/>
        </w:rPr>
        <w:t xml:space="preserve">A.5  Safe extraction of archives (extract_archives.py)</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def main() -&gt; None: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archive, (target, skip) in JOBS.items():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src, dst = RAW / archive, RAW /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not src.exists():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print(f"missing: {archive}")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dst.exists():</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print(f"exists, skipping: {target}")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continue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with zipfile.ZipFile(src) as z:</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bad = [i.filename for i in z.infolist() if i.filename.startswith("/") or </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 in i.filename.split("/")]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bad:</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raise SystemExit(f"{archive}: unsafe member paths {bad[:3]}")</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dst.mkdir(parents=True)</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for info in z.infolist():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if info.filename not in skip:</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z.extract(info, dst)</w:t>
      </w:r>
    </w:p>
    <w:p>
      <w:pPr>
        <w:keepLines/>
        <w:shd w:val="clear" w:color="auto" w:fill="F2F2F2"/>
        <w:spacing w:before="0" w:after="0" w:line="240" w:lineRule="auto"/>
        <w:ind w:left="113" w:right="113"/>
      </w:pPr>
      <w:r>
        <w:rPr>
          <w:rFonts w:ascii="Courier New" w:hAnsi="Courier New" w:cs="Courier New" w:eastAsia="Courier New"/>
          <w:sz w:val="16"/>
          <w:szCs w:val="16"/>
        </w:rPr>
        <w:t xml:space="preserve">        print(f"extracted {archive} -&gt; {target}")</w:t>
      </w:r>
    </w:p>
    <w:p>
      <w:pPr>
        <w:spacing w:before="0" w:after="120" w:line="240" w:lineRule="auto"/>
      </w:pPr>
    </w:p>
    <w:sectPr>
      <w:headerReference w:type="default" r:id="rId11"/>
      <w:footerReference w:type="default" r:id="rId10"/>
      <w:pgSz w:w="11910" w:h="16840"/>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abstractNum w:abstractNumId="90">
    <w:multiLevelType w:val="hybridMultilevel"/>
    <w:lvl w:ilvl="0">
      <w:start w:val="1"/>
      <w:numFmt w:val="bullet"/>
      <w:lvlText w:val="•"/>
      <w:lvlJc w:val="left"/>
      <w:pPr>
        <w:ind w:left="720" w:hanging="360"/>
      </w:pPr>
      <w:rPr>
        <w:rFonts w:ascii="Times New Roman" w:hAnsi="Times New Roman" w:cs="Times New Roman" w:hint="default"/>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Img1" Type="http://schemas.openxmlformats.org/officeDocument/2006/relationships/image" Target="media/fig_timeline.png"/><Relationship Id="rIdImg2" Type="http://schemas.openxmlformats.org/officeDocument/2006/relationships/image" Target="media/fig_architecture.png"/><Relationship Id="rIdImg3" Type="http://schemas.openxmlformats.org/officeDocument/2006/relationships/image" Target="media/fig_dfd0.png"/><Relationship Id="rIdImg4" Type="http://schemas.openxmlformats.org/officeDocument/2006/relationships/image" Target="media/fig_dfd1.png"/><Relationship Id="rIdImg5" Type="http://schemas.openxmlformats.org/officeDocument/2006/relationships/image" Target="media/fig_usecase.png"/><Relationship Id="rIdImg6" Type="http://schemas.openxmlformats.org/officeDocument/2006/relationships/image" Target="media/fig_class.png"/><Relationship Id="rIdImg7" Type="http://schemas.openxmlformats.org/officeDocument/2006/relationships/image" Target="media/fig_sequence.png"/><Relationship Id="rIdImg8" Type="http://schemas.openxmlformats.org/officeDocument/2006/relationships/image" Target="media/fig_capstone_schema.png"/><Relationship Id="rIdImg9" Type="http://schemas.openxmlformats.org/officeDocument/2006/relationships/image" Target="media/fig_regimes.png"/><Relationship Id="rIdImg10" Type="http://schemas.openxmlformats.org/officeDocument/2006/relationships/image" Target="media/fig_coupling.png"/><Relationship Id="rIdImg11" Type="http://schemas.openxmlformats.org/officeDocument/2006/relationships/image" Target="media/fig_rank_activity.png"/><Relationship Id="rIdImg12" Type="http://schemas.openxmlformats.org/officeDocument/2006/relationships/image" Target="media/fig_rank_entity.png"/><Relationship Id="rIdImg13" Type="http://schemas.openxmlformats.org/officeDocument/2006/relationships/image" Target="media/fig_spuriou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Object-Centric Event Log Mining for Academic Capstone Processes: A Native OCEL 2.0 Approach</dc:title>
  <dc:subject/>
  <dc:creator>Team 1, BCSE497J</dc:creator>
  <cp:keywords/>
  <dc:description/>
  <cp:lastModifiedBy>Team 1, BCSE497J</cp:lastModifiedBy>
  <cp:revision>4</cp:revision>
  <dcterms:created xsi:type="dcterms:W3CDTF">2026-10-27T00:00:00Z</dcterms:created>
  <dcterms:modified xsi:type="dcterms:W3CDTF">2026-10-27T00:00:00Z</dcterms:modified>
</cp:coreProperties>
</file>