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520" w:line="360" w:lineRule="auto"/>
        <w:jc w:val="center"/>
      </w:pPr>
      <w:r>
        <w:rPr>
          <w:rFonts w:ascii="Times New Roman" w:hAnsi="Times New Roman"/>
          <w:b/>
          <w:i w:val="0"/>
          <w:sz w:val="36"/>
        </w:rPr>
        <w:t>BCSE497J - Project-I</w:t>
      </w:r>
    </w:p>
    <w:p>
      <w:pPr>
        <w:spacing w:before="0" w:after="520" w:line="360" w:lineRule="auto"/>
        <w:jc w:val="center"/>
      </w:pPr>
      <w:r>
        <w:rPr>
          <w:rFonts w:ascii="Times New Roman" w:hAnsi="Times New Roman"/>
          <w:b/>
          <w:i w:val="0"/>
          <w:sz w:val="32"/>
        </w:rPr>
        <w:t>OBJECT-CENTRIC EVENT LOG MINING FOR ACADEMIC CAPSTONE PROCESSES:</w:t>
        <w:br/>
        <w:t>A NATIVE OCEL 2.0 APPROACH</w:t>
      </w:r>
    </w:p>
    <w:p>
      <w:pPr>
        <w:spacing w:before="0" w:after="40" w:line="360" w:lineRule="auto"/>
        <w:jc w:val="center"/>
      </w:pPr>
      <w:r>
        <w:rPr>
          <w:rFonts w:ascii="Times New Roman" w:hAnsi="Times New Roman"/>
          <w:b/>
          <w:i w:val="0"/>
          <w:sz w:val="26"/>
        </w:rPr>
        <w:t>23BCE0434    MITISHA SHARMA</w:t>
      </w:r>
    </w:p>
    <w:p>
      <w:pPr>
        <w:spacing w:before="0" w:after="40" w:line="360" w:lineRule="auto"/>
        <w:jc w:val="center"/>
      </w:pPr>
      <w:r>
        <w:rPr>
          <w:rFonts w:ascii="Times New Roman" w:hAnsi="Times New Roman"/>
          <w:b/>
          <w:i w:val="0"/>
          <w:sz w:val="26"/>
        </w:rPr>
        <w:t>23BCE0498    TANMAY KHAMBETE</w:t>
      </w:r>
    </w:p>
    <w:p>
      <w:pPr>
        <w:spacing w:before="0" w:after="40" w:line="360" w:lineRule="auto"/>
        <w:jc w:val="center"/>
      </w:pPr>
      <w:r>
        <w:rPr>
          <w:rFonts w:ascii="Times New Roman" w:hAnsi="Times New Roman"/>
          <w:b/>
          <w:i w:val="0"/>
          <w:sz w:val="26"/>
        </w:rPr>
        <w:t>23BCE0500    AAKAASH SATHYA SARAVANAN</w:t>
      </w:r>
    </w:p>
    <w:p>
      <w:pPr>
        <w:spacing w:before="360" w:after="80" w:line="360" w:lineRule="auto"/>
        <w:jc w:val="center"/>
      </w:pPr>
      <w:r>
        <w:rPr>
          <w:rFonts w:ascii="Times New Roman" w:hAnsi="Times New Roman"/>
          <w:b w:val="0"/>
          <w:i w:val="0"/>
          <w:sz w:val="24"/>
        </w:rPr>
        <w:t>Under the Supervision of</w:t>
      </w:r>
    </w:p>
    <w:p>
      <w:pPr>
        <w:spacing w:before="0" w:after="60" w:line="360" w:lineRule="auto"/>
        <w:jc w:val="center"/>
      </w:pPr>
      <w:r>
        <w:rPr>
          <w:rFonts w:ascii="Times New Roman" w:hAnsi="Times New Roman"/>
          <w:b/>
          <w:i w:val="0"/>
          <w:sz w:val="26"/>
        </w:rPr>
        <w:t>Dr. Kalyanaraman P</w:t>
      </w:r>
    </w:p>
    <w:p>
      <w:pPr>
        <w:spacing w:before="0" w:after="200" w:line="360" w:lineRule="auto"/>
        <w:jc w:val="center"/>
      </w:pPr>
      <w:r>
        <w:rPr>
          <w:rFonts w:ascii="Times New Roman" w:hAnsi="Times New Roman"/>
          <w:b w:val="0"/>
          <w:i w:val="0"/>
          <w:sz w:val="24"/>
        </w:rPr>
        <w:t>Project Guide</w:t>
        <w:br/>
        <w:t>School of Computer Science and Engineering (SCOPE)</w:t>
      </w:r>
    </w:p>
    <w:p>
      <w:pPr>
        <w:spacing w:before="0" w:after="200" w:line="360" w:lineRule="auto"/>
        <w:jc w:val="center"/>
      </w:pPr>
      <w:r>
        <w:rPr>
          <w:rFonts w:ascii="Times New Roman" w:hAnsi="Times New Roman"/>
          <w:b/>
          <w:i w:val="0"/>
          <w:sz w:val="28"/>
        </w:rPr>
        <w:t>B.Tech.</w:t>
        <w:br/>
        <w:t>in</w:t>
        <w:br/>
        <w:t>Computer Science and Engineering</w:t>
      </w:r>
    </w:p>
    <w:p>
      <w:pPr>
        <w:jc w:val="center"/>
      </w:pPr>
      <w:r>
        <w:drawing>
          <wp:inline xmlns:a="http://schemas.openxmlformats.org/drawingml/2006/main" xmlns:pic="http://schemas.openxmlformats.org/drawingml/2006/picture">
            <wp:extent cx="3154680" cy="872836"/>
            <wp:docPr id="1" name="Picture 1" title="VIT logo" descr="Vellore Institute of Technology logo on the project-report cover"/>
            <wp:cNvGraphicFramePr>
              <a:graphicFrameLocks noChangeAspect="1"/>
            </wp:cNvGraphicFramePr>
            <a:graphic>
              <a:graphicData uri="http://schemas.openxmlformats.org/drawingml/2006/picture">
                <pic:pic>
                  <pic:nvPicPr>
                    <pic:cNvPr id="0" name="image.jpg"/>
                    <pic:cNvPicPr/>
                  </pic:nvPicPr>
                  <pic:blipFill>
                    <a:blip r:embed="rId8"/>
                    <a:stretch>
                      <a:fillRect/>
                    </a:stretch>
                  </pic:blipFill>
                  <pic:spPr>
                    <a:xfrm>
                      <a:off x="0" y="0"/>
                      <a:ext cx="3154680" cy="872836"/>
                    </a:xfrm>
                    <a:prstGeom prst="rect"/>
                  </pic:spPr>
                </pic:pic>
              </a:graphicData>
            </a:graphic>
          </wp:inline>
        </w:drawing>
      </w:r>
    </w:p>
    <w:p>
      <w:pPr>
        <w:spacing w:before="0" w:after="0" w:line="360" w:lineRule="auto"/>
        <w:jc w:val="center"/>
      </w:pPr>
      <w:r>
        <w:rPr>
          <w:rFonts w:ascii="Times New Roman" w:hAnsi="Times New Roman"/>
          <w:b w:val="0"/>
          <w:i w:val="0"/>
          <w:sz w:val="24"/>
        </w:rPr>
        <w:t>September 2026</w:t>
      </w:r>
    </w:p>
    <w:p>
      <w:pPr>
        <w:sectPr>
          <w:footerReference w:type="default" r:id="rId15"/>
          <w:pgSz w:w="11909" w:h="16834"/>
          <w:pgMar w:top="1440" w:right="1440" w:bottom="1440" w:left="1440" w:header="648" w:footer="648" w:gutter="0"/>
          <w:pgNumType w:start="1"/>
          <w:cols w:space="720"/>
        </w:sectPr>
      </w:pPr>
    </w:p>
    <w:p>
      <w:pPr>
        <w:pStyle w:val="Heading1"/>
        <w:jc w:val="center"/>
      </w:pPr>
      <w:r>
        <w:rPr>
          <w:rFonts w:ascii="Times New Roman" w:hAnsi="Times New Roman"/>
          <w:b/>
          <w:i w:val="0"/>
          <w:sz w:val="28"/>
        </w:rPr>
        <w:t>ABSTRACT</w:t>
      </w:r>
    </w:p>
    <w:p>
      <w:pPr>
        <w:spacing w:line="276" w:lineRule="auto" w:after="120"/>
        <w:jc w:val="both"/>
      </w:pPr>
      <w:r>
        <w:rPr>
          <w:rFonts w:ascii="Times New Roman" w:hAnsi="Times New Roman"/>
          <w:sz w:val="24"/>
        </w:rPr>
        <w:t>Academic capstone platforms record one lifecycle through many related entities: projects, teams, students, faculty, report versions, review stages and immutable scores. Conventional event-log extraction requires a single case identifier and can duplicate events or discard relationships that are essential for analysing supervision, version lineage and evaluation. This project develops a native Object-Centric Event Log (OCEL) 2.0 pipeline for the documented Educational Capstone Portal capstone process. In the absence of production logs, Review 2 uses a deterministic synthetic benchmark with three traceable scenarios: an intended clean lifecycle, the documented R1-only implementation baseline, and a controlled gap-injected counterfactual. The prototype exports relational OCEL SQLite and auditable CSV tables, validates references and timestamps, compares three single-case flattenings, executes six documented-gap predicates, evaluates a project-grouped next-transition baseline, and simulates attempt-limit and faculty-capacity interventions. Across 120 synthetic projects per scenario, OCEL preserves 100% of generated event-to-object relations, whereas flattened views preserve 19.8–27.9%. The six rule detectors obtain macro-F1 0.977 on their injected oracle labels. These figures establish feasibility only; they do not estimate operational Educational Capstone Portal accuracy or institutional impact. The proposed research contribution is a documentation-grounded normative–descriptive–adversarial evaluation design and a study-specific Cross-Object Observability Coverage measure that separates source instrumentation from representation loss.</w:t>
      </w:r>
    </w:p>
    <w:p>
      <w:pPr>
        <w:jc w:val="both"/>
      </w:pPr>
      <w:r>
        <w:rPr>
          <w:rFonts w:ascii="Times New Roman" w:hAnsi="Times New Roman"/>
          <w:i/>
          <w:sz w:val="24"/>
        </w:rPr>
        <w:t>Keywords — OCEL 2.0, object-centric process mining, academic capstone, conformance, synthetic benchmark, digital twin.</w:t>
      </w:r>
    </w:p>
    <w:p>
      <w:r>
        <w:br w:type="page"/>
      </w:r>
    </w:p>
    <w:p>
      <w:pPr>
        <w:pStyle w:val="Heading1"/>
        <w:jc w:val="center"/>
      </w:pPr>
      <w:r>
        <w:rPr>
          <w:rFonts w:ascii="Times New Roman" w:hAnsi="Times New Roman"/>
          <w:b/>
          <w:i w:val="0"/>
          <w:sz w:val="28"/>
        </w:rPr>
        <w:t>TABLE OF CONTENTS</w:t>
      </w:r>
    </w:p>
    <w:tbl>
      <w:tblPr>
        <w:tblStyle w:val="TableGrid"/>
        <w:tblW w:type="auto" w:w="0"/>
        <w:jc w:val="center"/>
        <w:tblLayout w:type="fixed"/>
        <w:tblLook w:firstColumn="1" w:firstRow="1" w:lastColumn="0" w:lastRow="0" w:noHBand="0" w:noVBand="1" w:val="04A0"/>
      </w:tblPr>
      <w:tblGrid>
        <w:gridCol w:w="4514"/>
        <w:gridCol w:w="4514"/>
      </w:tblGrid>
      <w:tr>
        <w:trPr>
          <w:tblHeader w:val="true"/>
        </w:trPr>
        <w:tc>
          <w:tcPr>
            <w:tcW w:type="dxa" w:w="7704"/>
            <w:vAlign w:val="center"/>
            <w:tcMar>
              <w:top w:w="90" w:type="dxa"/>
              <w:left w:w="90" w:type="dxa"/>
              <w:bottom w:w="90" w:type="dxa"/>
              <w:right w:w="90" w:type="dxa"/>
            </w:tcMar>
            <w:shd w:fill="D9EAF7"/>
          </w:tcPr>
          <w:p>
            <w:pPr>
              <w:spacing w:after="0" w:line="240" w:lineRule="auto"/>
              <w:jc w:val="center"/>
            </w:pPr>
            <w:r/>
            <w:r>
              <w:rPr>
                <w:rFonts w:ascii="Times New Roman" w:hAnsi="Times New Roman"/>
                <w:b/>
                <w:sz w:val="22"/>
              </w:rPr>
              <w:t>Contents</w:t>
            </w:r>
          </w:p>
        </w:tc>
        <w:tc>
          <w:tcPr>
            <w:tcW w:type="dxa" w:w="1080"/>
            <w:vAlign w:val="center"/>
            <w:tcMar>
              <w:top w:w="90" w:type="dxa"/>
              <w:left w:w="90" w:type="dxa"/>
              <w:bottom w:w="90" w:type="dxa"/>
              <w:right w:w="90" w:type="dxa"/>
            </w:tcMar>
            <w:shd w:fill="D9EAF7"/>
          </w:tcPr>
          <w:p>
            <w:pPr>
              <w:spacing w:after="0" w:line="240" w:lineRule="auto"/>
              <w:jc w:val="center"/>
            </w:pPr>
            <w:r/>
            <w:r>
              <w:rPr>
                <w:rFonts w:ascii="Times New Roman" w:hAnsi="Times New Roman"/>
                <w:b/>
                <w:sz w:val="22"/>
              </w:rPr>
              <w:t>Page</w:t>
            </w:r>
          </w:p>
        </w:tc>
      </w:tr>
      <w:tr>
        <w:tc>
          <w:tcPr>
            <w:tcW w:type="dxa" w:w="7704"/>
            <w:vAlign w:val="center"/>
            <w:tcMar>
              <w:top w:w="90" w:type="dxa"/>
              <w:left w:w="90" w:type="dxa"/>
              <w:bottom w:w="90" w:type="dxa"/>
              <w:right w:w="90" w:type="dxa"/>
            </w:tcMar>
          </w:tcPr>
          <w:p>
            <w:pPr>
              <w:spacing w:after="0" w:line="240" w:lineRule="auto"/>
              <w:jc w:val="left"/>
            </w:pPr>
            <w:r/>
            <w:r>
              <w:rPr>
                <w:rFonts w:ascii="Times New Roman" w:hAnsi="Times New Roman"/>
                <w:b w:val="0"/>
                <w:sz w:val="22"/>
              </w:rPr>
              <w:t>Abstract</w:t>
            </w:r>
          </w:p>
        </w:tc>
        <w:tc>
          <w:tcPr>
            <w:tcW w:type="dxa" w:w="1080"/>
            <w:vAlign w:val="center"/>
            <w:tcMar>
              <w:top w:w="90" w:type="dxa"/>
              <w:left w:w="90" w:type="dxa"/>
              <w:bottom w:w="90" w:type="dxa"/>
              <w:right w:w="90" w:type="dxa"/>
            </w:tcMar>
          </w:tcPr>
          <w:p>
            <w:pPr>
              <w:spacing w:after="0" w:line="240" w:lineRule="auto"/>
              <w:jc w:val="left"/>
            </w:pPr>
            <w:r/>
            <w:r>
              <w:rPr>
                <w:rFonts w:ascii="Times New Roman" w:hAnsi="Times New Roman"/>
                <w:b w:val="0"/>
                <w:sz w:val="22"/>
              </w:rPr>
              <w:t>i</w:t>
            </w:r>
          </w:p>
        </w:tc>
      </w:tr>
      <w:tr>
        <w:tc>
          <w:tcPr>
            <w:tcW w:type="dxa" w:w="7704"/>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22"/>
              </w:rPr>
              <w:t>1. Introduction</w:t>
            </w:r>
          </w:p>
        </w:tc>
        <w:tc>
          <w:tcPr>
            <w:tcW w:type="dxa" w:w="1080"/>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22"/>
              </w:rPr>
              <w:t>1</w:t>
            </w:r>
          </w:p>
        </w:tc>
      </w:tr>
      <w:tr>
        <w:tc>
          <w:tcPr>
            <w:tcW w:type="dxa" w:w="7704"/>
            <w:vAlign w:val="center"/>
            <w:tcMar>
              <w:top w:w="90" w:type="dxa"/>
              <w:left w:w="90" w:type="dxa"/>
              <w:bottom w:w="90" w:type="dxa"/>
              <w:right w:w="90" w:type="dxa"/>
            </w:tcMar>
          </w:tcPr>
          <w:p>
            <w:pPr>
              <w:spacing w:after="0" w:line="240" w:lineRule="auto"/>
              <w:jc w:val="left"/>
            </w:pPr>
            <w:r/>
            <w:r>
              <w:rPr>
                <w:rFonts w:ascii="Times New Roman" w:hAnsi="Times New Roman"/>
                <w:b w:val="0"/>
                <w:sz w:val="22"/>
              </w:rPr>
              <w:t>1.1 Background</w:t>
            </w:r>
          </w:p>
        </w:tc>
        <w:tc>
          <w:tcPr>
            <w:tcW w:type="dxa" w:w="1080"/>
            <w:vAlign w:val="center"/>
            <w:tcMar>
              <w:top w:w="90" w:type="dxa"/>
              <w:left w:w="90" w:type="dxa"/>
              <w:bottom w:w="90" w:type="dxa"/>
              <w:right w:w="90" w:type="dxa"/>
            </w:tcMar>
          </w:tcPr>
          <w:p>
            <w:pPr>
              <w:spacing w:after="0" w:line="240" w:lineRule="auto"/>
              <w:jc w:val="left"/>
            </w:pPr>
            <w:r/>
            <w:r>
              <w:rPr>
                <w:rFonts w:ascii="Times New Roman" w:hAnsi="Times New Roman"/>
                <w:b w:val="0"/>
                <w:sz w:val="22"/>
              </w:rPr>
              <w:t>1</w:t>
            </w:r>
          </w:p>
        </w:tc>
      </w:tr>
      <w:tr>
        <w:tc>
          <w:tcPr>
            <w:tcW w:type="dxa" w:w="7704"/>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22"/>
              </w:rPr>
              <w:t>1.2 Motivation</w:t>
            </w:r>
          </w:p>
        </w:tc>
        <w:tc>
          <w:tcPr>
            <w:tcW w:type="dxa" w:w="1080"/>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22"/>
              </w:rPr>
              <w:t>1</w:t>
            </w:r>
          </w:p>
        </w:tc>
      </w:tr>
      <w:tr>
        <w:tc>
          <w:tcPr>
            <w:tcW w:type="dxa" w:w="7704"/>
            <w:vAlign w:val="center"/>
            <w:tcMar>
              <w:top w:w="90" w:type="dxa"/>
              <w:left w:w="90" w:type="dxa"/>
              <w:bottom w:w="90" w:type="dxa"/>
              <w:right w:w="90" w:type="dxa"/>
            </w:tcMar>
          </w:tcPr>
          <w:p>
            <w:pPr>
              <w:spacing w:after="0" w:line="240" w:lineRule="auto"/>
              <w:jc w:val="left"/>
            </w:pPr>
            <w:r/>
            <w:r>
              <w:rPr>
                <w:rFonts w:ascii="Times New Roman" w:hAnsi="Times New Roman"/>
                <w:b w:val="0"/>
                <w:sz w:val="22"/>
              </w:rPr>
              <w:t>1.3 Scope of the Project</w:t>
            </w:r>
          </w:p>
        </w:tc>
        <w:tc>
          <w:tcPr>
            <w:tcW w:type="dxa" w:w="1080"/>
            <w:vAlign w:val="center"/>
            <w:tcMar>
              <w:top w:w="90" w:type="dxa"/>
              <w:left w:w="90" w:type="dxa"/>
              <w:bottom w:w="90" w:type="dxa"/>
              <w:right w:w="90" w:type="dxa"/>
            </w:tcMar>
          </w:tcPr>
          <w:p>
            <w:pPr>
              <w:spacing w:after="0" w:line="240" w:lineRule="auto"/>
              <w:jc w:val="left"/>
            </w:pPr>
            <w:r/>
            <w:r>
              <w:rPr>
                <w:rFonts w:ascii="Times New Roman" w:hAnsi="Times New Roman"/>
                <w:b w:val="0"/>
                <w:sz w:val="22"/>
              </w:rPr>
              <w:t>1</w:t>
            </w:r>
          </w:p>
        </w:tc>
      </w:tr>
      <w:tr>
        <w:tc>
          <w:tcPr>
            <w:tcW w:type="dxa" w:w="7704"/>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22"/>
              </w:rPr>
              <w:t>2. Project Description and Goals</w:t>
            </w:r>
          </w:p>
        </w:tc>
        <w:tc>
          <w:tcPr>
            <w:tcW w:type="dxa" w:w="1080"/>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22"/>
              </w:rPr>
              <w:t>2</w:t>
            </w:r>
          </w:p>
        </w:tc>
      </w:tr>
      <w:tr>
        <w:tc>
          <w:tcPr>
            <w:tcW w:type="dxa" w:w="7704"/>
            <w:vAlign w:val="center"/>
            <w:tcMar>
              <w:top w:w="90" w:type="dxa"/>
              <w:left w:w="90" w:type="dxa"/>
              <w:bottom w:w="90" w:type="dxa"/>
              <w:right w:w="90" w:type="dxa"/>
            </w:tcMar>
          </w:tcPr>
          <w:p>
            <w:pPr>
              <w:spacing w:after="0" w:line="240" w:lineRule="auto"/>
              <w:jc w:val="left"/>
            </w:pPr>
            <w:r/>
            <w:r>
              <w:rPr>
                <w:rFonts w:ascii="Times New Roman" w:hAnsi="Times New Roman"/>
                <w:b w:val="0"/>
                <w:sz w:val="22"/>
              </w:rPr>
              <w:t>2.1 Literature Review</w:t>
            </w:r>
          </w:p>
        </w:tc>
        <w:tc>
          <w:tcPr>
            <w:tcW w:type="dxa" w:w="1080"/>
            <w:vAlign w:val="center"/>
            <w:tcMar>
              <w:top w:w="90" w:type="dxa"/>
              <w:left w:w="90" w:type="dxa"/>
              <w:bottom w:w="90" w:type="dxa"/>
              <w:right w:w="90" w:type="dxa"/>
            </w:tcMar>
          </w:tcPr>
          <w:p>
            <w:pPr>
              <w:spacing w:after="0" w:line="240" w:lineRule="auto"/>
              <w:jc w:val="left"/>
            </w:pPr>
            <w:r/>
            <w:r>
              <w:rPr>
                <w:rFonts w:ascii="Times New Roman" w:hAnsi="Times New Roman"/>
                <w:b w:val="0"/>
                <w:sz w:val="22"/>
              </w:rPr>
              <w:t>2</w:t>
            </w:r>
          </w:p>
        </w:tc>
      </w:tr>
      <w:tr>
        <w:tc>
          <w:tcPr>
            <w:tcW w:type="dxa" w:w="7704"/>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22"/>
              </w:rPr>
              <w:t>2.2 Research Gap</w:t>
            </w:r>
          </w:p>
        </w:tc>
        <w:tc>
          <w:tcPr>
            <w:tcW w:type="dxa" w:w="1080"/>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22"/>
              </w:rPr>
              <w:t>2</w:t>
            </w:r>
          </w:p>
        </w:tc>
      </w:tr>
      <w:tr>
        <w:tc>
          <w:tcPr>
            <w:tcW w:type="dxa" w:w="7704"/>
            <w:vAlign w:val="center"/>
            <w:tcMar>
              <w:top w:w="90" w:type="dxa"/>
              <w:left w:w="90" w:type="dxa"/>
              <w:bottom w:w="90" w:type="dxa"/>
              <w:right w:w="90" w:type="dxa"/>
            </w:tcMar>
          </w:tcPr>
          <w:p>
            <w:pPr>
              <w:spacing w:after="0" w:line="240" w:lineRule="auto"/>
              <w:jc w:val="left"/>
            </w:pPr>
            <w:r/>
            <w:r>
              <w:rPr>
                <w:rFonts w:ascii="Times New Roman" w:hAnsi="Times New Roman"/>
                <w:b w:val="0"/>
                <w:sz w:val="22"/>
              </w:rPr>
              <w:t>2.3 Objectives</w:t>
            </w:r>
          </w:p>
        </w:tc>
        <w:tc>
          <w:tcPr>
            <w:tcW w:type="dxa" w:w="1080"/>
            <w:vAlign w:val="center"/>
            <w:tcMar>
              <w:top w:w="90" w:type="dxa"/>
              <w:left w:w="90" w:type="dxa"/>
              <w:bottom w:w="90" w:type="dxa"/>
              <w:right w:w="90" w:type="dxa"/>
            </w:tcMar>
          </w:tcPr>
          <w:p>
            <w:pPr>
              <w:spacing w:after="0" w:line="240" w:lineRule="auto"/>
              <w:jc w:val="left"/>
            </w:pPr>
            <w:r/>
            <w:r>
              <w:rPr>
                <w:rFonts w:ascii="Times New Roman" w:hAnsi="Times New Roman"/>
                <w:b w:val="0"/>
                <w:sz w:val="22"/>
              </w:rPr>
              <w:t>3</w:t>
            </w:r>
          </w:p>
        </w:tc>
      </w:tr>
      <w:tr>
        <w:tc>
          <w:tcPr>
            <w:tcW w:type="dxa" w:w="7704"/>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22"/>
              </w:rPr>
              <w:t>2.4 Problem Statement</w:t>
            </w:r>
          </w:p>
        </w:tc>
        <w:tc>
          <w:tcPr>
            <w:tcW w:type="dxa" w:w="1080"/>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22"/>
              </w:rPr>
              <w:t>4</w:t>
            </w:r>
          </w:p>
        </w:tc>
      </w:tr>
      <w:tr>
        <w:tc>
          <w:tcPr>
            <w:tcW w:type="dxa" w:w="7704"/>
            <w:vAlign w:val="center"/>
            <w:tcMar>
              <w:top w:w="90" w:type="dxa"/>
              <w:left w:w="90" w:type="dxa"/>
              <w:bottom w:w="90" w:type="dxa"/>
              <w:right w:w="90" w:type="dxa"/>
            </w:tcMar>
          </w:tcPr>
          <w:p>
            <w:pPr>
              <w:spacing w:after="0" w:line="240" w:lineRule="auto"/>
              <w:jc w:val="left"/>
            </w:pPr>
            <w:r/>
            <w:r>
              <w:rPr>
                <w:rFonts w:ascii="Times New Roman" w:hAnsi="Times New Roman"/>
                <w:b w:val="0"/>
                <w:sz w:val="22"/>
              </w:rPr>
              <w:t>2.5 Project Plan</w:t>
            </w:r>
          </w:p>
        </w:tc>
        <w:tc>
          <w:tcPr>
            <w:tcW w:type="dxa" w:w="1080"/>
            <w:vAlign w:val="center"/>
            <w:tcMar>
              <w:top w:w="90" w:type="dxa"/>
              <w:left w:w="90" w:type="dxa"/>
              <w:bottom w:w="90" w:type="dxa"/>
              <w:right w:w="90" w:type="dxa"/>
            </w:tcMar>
          </w:tcPr>
          <w:p>
            <w:pPr>
              <w:spacing w:after="0" w:line="240" w:lineRule="auto"/>
              <w:jc w:val="left"/>
            </w:pPr>
            <w:r/>
            <w:r>
              <w:rPr>
                <w:rFonts w:ascii="Times New Roman" w:hAnsi="Times New Roman"/>
                <w:b w:val="0"/>
                <w:sz w:val="22"/>
              </w:rPr>
              <w:t>4</w:t>
            </w:r>
          </w:p>
        </w:tc>
      </w:tr>
      <w:tr>
        <w:tc>
          <w:tcPr>
            <w:tcW w:type="dxa" w:w="7704"/>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22"/>
              </w:rPr>
              <w:t>3. Technical Specification</w:t>
            </w:r>
          </w:p>
        </w:tc>
        <w:tc>
          <w:tcPr>
            <w:tcW w:type="dxa" w:w="1080"/>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22"/>
              </w:rPr>
              <w:t>5</w:t>
            </w:r>
          </w:p>
        </w:tc>
      </w:tr>
      <w:tr>
        <w:tc>
          <w:tcPr>
            <w:tcW w:type="dxa" w:w="7704"/>
            <w:vAlign w:val="center"/>
            <w:tcMar>
              <w:top w:w="90" w:type="dxa"/>
              <w:left w:w="90" w:type="dxa"/>
              <w:bottom w:w="90" w:type="dxa"/>
              <w:right w:w="90" w:type="dxa"/>
            </w:tcMar>
          </w:tcPr>
          <w:p>
            <w:pPr>
              <w:spacing w:after="0" w:line="240" w:lineRule="auto"/>
              <w:jc w:val="left"/>
            </w:pPr>
            <w:r/>
            <w:r>
              <w:rPr>
                <w:rFonts w:ascii="Times New Roman" w:hAnsi="Times New Roman"/>
                <w:b w:val="0"/>
                <w:sz w:val="22"/>
              </w:rPr>
              <w:t>4. Design Approach and Details</w:t>
            </w:r>
          </w:p>
        </w:tc>
        <w:tc>
          <w:tcPr>
            <w:tcW w:type="dxa" w:w="1080"/>
            <w:vAlign w:val="center"/>
            <w:tcMar>
              <w:top w:w="90" w:type="dxa"/>
              <w:left w:w="90" w:type="dxa"/>
              <w:bottom w:w="90" w:type="dxa"/>
              <w:right w:w="90" w:type="dxa"/>
            </w:tcMar>
          </w:tcPr>
          <w:p>
            <w:pPr>
              <w:spacing w:after="0" w:line="240" w:lineRule="auto"/>
              <w:jc w:val="left"/>
            </w:pPr>
            <w:r/>
            <w:r>
              <w:rPr>
                <w:rFonts w:ascii="Times New Roman" w:hAnsi="Times New Roman"/>
                <w:b w:val="0"/>
                <w:sz w:val="22"/>
              </w:rPr>
              <w:t>7</w:t>
            </w:r>
          </w:p>
        </w:tc>
      </w:tr>
      <w:tr>
        <w:tc>
          <w:tcPr>
            <w:tcW w:type="dxa" w:w="7704"/>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22"/>
              </w:rPr>
              <w:t>5. References</w:t>
            </w:r>
          </w:p>
        </w:tc>
        <w:tc>
          <w:tcPr>
            <w:tcW w:type="dxa" w:w="1080"/>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22"/>
              </w:rPr>
              <w:t>12</w:t>
            </w:r>
          </w:p>
        </w:tc>
      </w:tr>
      <w:tr>
        <w:tc>
          <w:tcPr>
            <w:tcW w:type="dxa" w:w="7704"/>
            <w:vAlign w:val="center"/>
            <w:tcMar>
              <w:top w:w="90" w:type="dxa"/>
              <w:left w:w="90" w:type="dxa"/>
              <w:bottom w:w="90" w:type="dxa"/>
              <w:right w:w="90" w:type="dxa"/>
            </w:tcMar>
          </w:tcPr>
          <w:p>
            <w:pPr>
              <w:spacing w:after="0" w:line="240" w:lineRule="auto"/>
              <w:jc w:val="left"/>
            </w:pPr>
            <w:r/>
            <w:r>
              <w:rPr>
                <w:rFonts w:ascii="Times New Roman" w:hAnsi="Times New Roman"/>
                <w:b w:val="0"/>
                <w:sz w:val="22"/>
              </w:rPr>
              <w:t>Appendix A. Synthetic Data and Reproducibility</w:t>
            </w:r>
          </w:p>
        </w:tc>
        <w:tc>
          <w:tcPr>
            <w:tcW w:type="dxa" w:w="1080"/>
            <w:vAlign w:val="center"/>
            <w:tcMar>
              <w:top w:w="90" w:type="dxa"/>
              <w:left w:w="90" w:type="dxa"/>
              <w:bottom w:w="90" w:type="dxa"/>
              <w:right w:w="90" w:type="dxa"/>
            </w:tcMar>
          </w:tcPr>
          <w:p>
            <w:pPr>
              <w:spacing w:after="0" w:line="240" w:lineRule="auto"/>
              <w:jc w:val="left"/>
            </w:pPr>
            <w:r/>
            <w:r>
              <w:rPr>
                <w:rFonts w:ascii="Times New Roman" w:hAnsi="Times New Roman"/>
                <w:b w:val="0"/>
                <w:sz w:val="22"/>
              </w:rPr>
              <w:t>13</w:t>
            </w:r>
          </w:p>
        </w:tc>
      </w:tr>
    </w:tbl>
    <w:p>
      <w:pPr>
        <w:spacing w:after="0"/>
      </w:pPr>
    </w:p>
    <w:p>
      <w:pPr>
        <w:jc w:val="center"/>
      </w:pPr>
      <w:r>
        <w:rPr>
          <w:rFonts w:ascii="Times New Roman" w:hAnsi="Times New Roman"/>
          <w:i/>
          <w:color w:val="595959"/>
          <w:sz w:val="20"/>
        </w:rPr>
        <w:t>Page numbers should be refreshed after the final manuscript is frozen.</w:t>
      </w:r>
    </w:p>
    <w:p>
      <w:pPr>
        <w:sectPr>
          <w:footerReference w:type="default" r:id="rId16"/>
          <w:pgSz w:w="11909" w:h="16834"/>
          <w:pgMar w:top="1440" w:right="1440" w:bottom="1440" w:left="1440" w:header="648" w:footer="648" w:gutter="0"/>
          <w:cols w:space="720"/>
          <w:pgNumType w:fmt="lowerRoman" w:start="1"/>
        </w:sectPr>
      </w:pPr>
    </w:p>
    <w:p>
      <w:pPr>
        <w:pStyle w:val="Heading1"/>
        <w:jc w:val="center"/>
      </w:pPr>
      <w:r>
        <w:rPr>
          <w:rFonts w:ascii="Times New Roman" w:hAnsi="Times New Roman"/>
          <w:b/>
          <w:i w:val="0"/>
          <w:sz w:val="28"/>
        </w:rPr>
        <w:t>1. INTRODUCTION</w:t>
      </w:r>
    </w:p>
    <w:p>
      <w:pPr>
        <w:pStyle w:val="Heading2"/>
        <w:jc w:val="left"/>
      </w:pPr>
      <w:r>
        <w:rPr>
          <w:rFonts w:ascii="Times New Roman" w:hAnsi="Times New Roman"/>
          <w:b/>
          <w:i w:val="0"/>
          <w:sz w:val="26"/>
        </w:rPr>
        <w:t>1.1 Background</w:t>
      </w:r>
    </w:p>
    <w:p>
      <w:pPr>
        <w:spacing w:line="276" w:lineRule="auto" w:after="120"/>
        <w:ind w:firstLine="432"/>
        <w:jc w:val="both"/>
      </w:pPr>
      <w:r>
        <w:rPr>
          <w:rFonts w:ascii="Times New Roman" w:hAnsi="Times New Roman"/>
          <w:sz w:val="24"/>
        </w:rPr>
        <w:t>Process mining reconstructs and evaluates operational behaviour from event data. Traditional logs organise every event around one case notion, but capstone processes have several simultaneous case notions. A report upload belongs to a project and team, is authored by students, creates a version, is reviewed by faculty and may later contribute to an immutable score. Flattening this event around only the project, student or report version can duplicate the event or sever part of that relational context.</w:t>
      </w:r>
    </w:p>
    <w:p>
      <w:pPr>
        <w:spacing w:line="276" w:lineRule="auto" w:after="120"/>
        <w:ind w:firstLine="432"/>
        <w:jc w:val="both"/>
      </w:pPr>
      <w:r>
        <w:rPr>
          <w:rFonts w:ascii="Times New Roman" w:hAnsi="Times New Roman"/>
          <w:sz w:val="24"/>
        </w:rPr>
        <w:t>Object-centric process mining addresses this limitation by linking one event to multiple typed objects. OCEL 2.0 standardises the corresponding event, object, event-to-object and object-to-object structures. Educational Capstone Portal is a suitable study setting because its documentation defines registration, supervision, report-version, review and scoring state machines and records transitions in an audit ledger. The same documentation also lists implementation gaps, including exhausted attempts, incomplete review-stage coverage and guide-capacity behaviour.</w:t>
      </w:r>
    </w:p>
    <w:p>
      <w:pPr>
        <w:pStyle w:val="Heading2"/>
        <w:jc w:val="left"/>
      </w:pPr>
      <w:r>
        <w:rPr>
          <w:rFonts w:ascii="Times New Roman" w:hAnsi="Times New Roman"/>
          <w:b/>
          <w:i w:val="0"/>
          <w:sz w:val="26"/>
        </w:rPr>
        <w:t>1.2 Motivation</w:t>
      </w:r>
    </w:p>
    <w:p>
      <w:pPr>
        <w:spacing w:line="276" w:lineRule="auto" w:after="120"/>
        <w:ind w:firstLine="432"/>
        <w:jc w:val="both"/>
      </w:pPr>
      <w:r>
        <w:rPr>
          <w:rFonts w:ascii="Times New Roman" w:hAnsi="Times New Roman"/>
          <w:sz w:val="24"/>
        </w:rPr>
        <w:t>The immediate engineering need is observability: reviewers should be able to follow a project without losing student, faculty, version or score provenance. The research need is more demanding. A publishable study must demonstrate that the object-centric representation enables analyses that cannot be performed reliably on conventional flat logs, while separating missing source instrumentation from information destroyed during representation.</w:t>
      </w:r>
    </w:p>
    <w:p>
      <w:pPr>
        <w:spacing w:line="276" w:lineRule="auto" w:after="120"/>
        <w:ind w:firstLine="432"/>
        <w:jc w:val="both"/>
      </w:pPr>
      <w:r>
        <w:rPr>
          <w:rFonts w:ascii="Times New Roman" w:hAnsi="Times New Roman"/>
          <w:sz w:val="24"/>
        </w:rPr>
        <w:t>Because production audit logs and capstone PDFs are not yet available, the current work treats the documentation as an executable specification. Synthetic data provides a controlled oracle for testing integrity, observability and detectors. It does not replace real-data evaluation; it reduces design risk and creates a reproducible baseline that can be recalibrated once de-identified logs are approved.</w:t>
      </w:r>
    </w:p>
    <w:p>
      <w:pPr>
        <w:pStyle w:val="Heading2"/>
        <w:jc w:val="left"/>
      </w:pPr>
      <w:r>
        <w:rPr>
          <w:rFonts w:ascii="Times New Roman" w:hAnsi="Times New Roman"/>
          <w:b/>
          <w:i w:val="0"/>
          <w:sz w:val="26"/>
        </w:rPr>
        <w:t>1.3 Scope of the Project</w:t>
      </w:r>
    </w:p>
    <w:p>
      <w:pPr>
        <w:spacing w:line="276" w:lineRule="auto" w:after="80"/>
        <w:ind w:left="360" w:hanging="259"/>
        <w:jc w:val="both"/>
      </w:pPr>
      <w:r>
        <w:rPr>
          <w:rFonts w:ascii="Times New Roman" w:hAnsi="Times New Roman"/>
          <w:sz w:val="24"/>
        </w:rPr>
        <w:t xml:space="preserve">• </w:t>
      </w:r>
      <w:r>
        <w:rPr>
          <w:rFonts w:ascii="Times New Roman" w:hAnsi="Times New Roman"/>
          <w:b/>
          <w:sz w:val="24"/>
        </w:rPr>
        <w:t xml:space="preserve">Included: </w:t>
      </w:r>
      <w:r>
        <w:rPr>
          <w:rFonts w:ascii="Times New Roman" w:hAnsi="Times New Roman"/>
          <w:sz w:val="24"/>
        </w:rPr>
        <w:t>Educational Capstone Portal capstone lifecycle mapping; OCEL 2.0 relational export; deterministic synthetic generation; integrity validation; flattening ablations; six documented-gap detectors; next-transition baseline; offline attempt/capacity simulation.</w:t>
      </w:r>
    </w:p>
    <w:p>
      <w:pPr>
        <w:spacing w:line="276" w:lineRule="auto" w:after="80"/>
        <w:ind w:left="360" w:hanging="259"/>
        <w:jc w:val="both"/>
      </w:pPr>
      <w:r>
        <w:rPr>
          <w:rFonts w:ascii="Times New Roman" w:hAnsi="Times New Roman"/>
          <w:sz w:val="24"/>
        </w:rPr>
        <w:t xml:space="preserve">• </w:t>
      </w:r>
      <w:r>
        <w:rPr>
          <w:rFonts w:ascii="Times New Roman" w:hAnsi="Times New Roman"/>
          <w:b/>
          <w:sz w:val="24"/>
        </w:rPr>
        <w:t xml:space="preserve">Excluded for Review 2: </w:t>
      </w:r>
      <w:r>
        <w:rPr>
          <w:rFonts w:ascii="Times New Roman" w:hAnsi="Times New Roman"/>
          <w:sz w:val="24"/>
        </w:rPr>
        <w:t>production deployment, ingestion of identifiable logs or PDFs, causal claims about student outcomes, autonomous intervention, and general claims about every educational process.</w:t>
      </w:r>
    </w:p>
    <w:p>
      <w:pPr>
        <w:spacing w:line="276" w:lineRule="auto" w:after="80"/>
        <w:ind w:left="360" w:hanging="259"/>
        <w:jc w:val="both"/>
      </w:pPr>
      <w:r>
        <w:rPr>
          <w:rFonts w:ascii="Times New Roman" w:hAnsi="Times New Roman"/>
          <w:sz w:val="24"/>
        </w:rPr>
        <w:t xml:space="preserve">• </w:t>
      </w:r>
      <w:r>
        <w:rPr>
          <w:rFonts w:ascii="Times New Roman" w:hAnsi="Times New Roman"/>
          <w:b/>
          <w:sz w:val="24"/>
        </w:rPr>
        <w:t xml:space="preserve">Evaluation boundary: </w:t>
      </w:r>
      <w:r>
        <w:rPr>
          <w:rFonts w:ascii="Times New Roman" w:hAnsi="Times New Roman"/>
          <w:sz w:val="24"/>
        </w:rPr>
        <w:t>all reported numeric results are synthetic proof-of-mechanism measurements using seed 4971 and the documented assumptions in the package.</w:t>
      </w:r>
    </w:p>
    <w:p>
      <w:r>
        <w:br w:type="page"/>
      </w:r>
    </w:p>
    <w:p>
      <w:pPr>
        <w:pStyle w:val="Heading1"/>
        <w:jc w:val="center"/>
      </w:pPr>
      <w:r>
        <w:rPr>
          <w:rFonts w:ascii="Times New Roman" w:hAnsi="Times New Roman"/>
          <w:b/>
          <w:i w:val="0"/>
          <w:sz w:val="28"/>
        </w:rPr>
        <w:t>2. PROJECT DESCRIPTION AND GOALS</w:t>
      </w:r>
    </w:p>
    <w:p>
      <w:pPr>
        <w:pStyle w:val="Heading2"/>
        <w:jc w:val="left"/>
      </w:pPr>
      <w:r>
        <w:rPr>
          <w:rFonts w:ascii="Times New Roman" w:hAnsi="Times New Roman"/>
          <w:b/>
          <w:i w:val="0"/>
          <w:sz w:val="26"/>
        </w:rPr>
        <w:t>2.1 Literature Review</w:t>
      </w:r>
    </w:p>
    <w:p>
      <w:pPr>
        <w:spacing w:line="276" w:lineRule="auto" w:after="120"/>
        <w:ind w:firstLine="432"/>
        <w:jc w:val="both"/>
      </w:pPr>
      <w:r>
        <w:rPr>
          <w:rFonts w:ascii="Times New Roman" w:hAnsi="Times New Roman"/>
          <w:sz w:val="24"/>
        </w:rPr>
        <w:t>The initial targeted review focuses on primary OCEL, object-centric conformance, educational process-mining and extraction-method sources. It is sufficient to set the Review 2 novelty boundary, but the final journal manuscript should expand the search protocol, databases, screening flow and quality assessment.</w:t>
      </w:r>
    </w:p>
    <w:tbl>
      <w:tblPr>
        <w:tblStyle w:val="TableGrid"/>
        <w:tblW w:type="auto" w:w="0"/>
        <w:jc w:val="center"/>
        <w:tblLayout w:type="fixed"/>
        <w:tblLook w:firstColumn="1" w:firstRow="1" w:lastColumn="0" w:lastRow="0" w:noHBand="0" w:noVBand="1" w:val="04A0"/>
      </w:tblPr>
      <w:tblGrid>
        <w:gridCol w:w="1806"/>
        <w:gridCol w:w="1806"/>
        <w:gridCol w:w="1806"/>
        <w:gridCol w:w="1806"/>
        <w:gridCol w:w="1806"/>
      </w:tblGrid>
      <w:tr>
        <w:trPr>
          <w:tblHeader w:val="true"/>
        </w:trPr>
        <w:tc>
          <w:tcPr>
            <w:tcW w:type="dxa" w:w="1512"/>
            <w:vAlign w:val="center"/>
            <w:tcMar>
              <w:top w:w="90" w:type="dxa"/>
              <w:left w:w="90" w:type="dxa"/>
              <w:bottom w:w="90" w:type="dxa"/>
              <w:right w:w="90" w:type="dxa"/>
            </w:tcMar>
            <w:shd w:fill="D9EAF7"/>
          </w:tcPr>
          <w:p>
            <w:pPr>
              <w:spacing w:after="0" w:line="240" w:lineRule="auto"/>
              <w:jc w:val="center"/>
            </w:pPr>
            <w:r/>
            <w:r>
              <w:rPr>
                <w:rFonts w:ascii="Times New Roman" w:hAnsi="Times New Roman"/>
                <w:b/>
                <w:sz w:val="16"/>
              </w:rPr>
              <w:t>Reference</w:t>
            </w:r>
          </w:p>
        </w:tc>
        <w:tc>
          <w:tcPr>
            <w:tcW w:type="dxa" w:w="1728"/>
            <w:vAlign w:val="center"/>
            <w:tcMar>
              <w:top w:w="90" w:type="dxa"/>
              <w:left w:w="90" w:type="dxa"/>
              <w:bottom w:w="90" w:type="dxa"/>
              <w:right w:w="90" w:type="dxa"/>
            </w:tcMar>
            <w:shd w:fill="D9EAF7"/>
          </w:tcPr>
          <w:p>
            <w:pPr>
              <w:spacing w:after="0" w:line="240" w:lineRule="auto"/>
              <w:jc w:val="center"/>
            </w:pPr>
            <w:r/>
            <w:r>
              <w:rPr>
                <w:rFonts w:ascii="Times New Roman" w:hAnsi="Times New Roman"/>
                <w:b/>
                <w:sz w:val="16"/>
              </w:rPr>
              <w:t>Objective</w:t>
            </w:r>
          </w:p>
        </w:tc>
        <w:tc>
          <w:tcPr>
            <w:tcW w:type="dxa" w:w="1944"/>
            <w:vAlign w:val="center"/>
            <w:tcMar>
              <w:top w:w="90" w:type="dxa"/>
              <w:left w:w="90" w:type="dxa"/>
              <w:bottom w:w="90" w:type="dxa"/>
              <w:right w:w="90" w:type="dxa"/>
            </w:tcMar>
            <w:shd w:fill="D9EAF7"/>
          </w:tcPr>
          <w:p>
            <w:pPr>
              <w:spacing w:after="0" w:line="240" w:lineRule="auto"/>
              <w:jc w:val="center"/>
            </w:pPr>
            <w:r/>
            <w:r>
              <w:rPr>
                <w:rFonts w:ascii="Times New Roman" w:hAnsi="Times New Roman"/>
                <w:b/>
                <w:sz w:val="16"/>
              </w:rPr>
              <w:t>Method</w:t>
            </w:r>
          </w:p>
        </w:tc>
        <w:tc>
          <w:tcPr>
            <w:tcW w:type="dxa" w:w="1944"/>
            <w:vAlign w:val="center"/>
            <w:tcMar>
              <w:top w:w="90" w:type="dxa"/>
              <w:left w:w="90" w:type="dxa"/>
              <w:bottom w:w="90" w:type="dxa"/>
              <w:right w:w="90" w:type="dxa"/>
            </w:tcMar>
            <w:shd w:fill="D9EAF7"/>
          </w:tcPr>
          <w:p>
            <w:pPr>
              <w:spacing w:after="0" w:line="240" w:lineRule="auto"/>
              <w:jc w:val="center"/>
            </w:pPr>
            <w:r/>
            <w:r>
              <w:rPr>
                <w:rFonts w:ascii="Times New Roman" w:hAnsi="Times New Roman"/>
                <w:b/>
                <w:sz w:val="16"/>
              </w:rPr>
              <w:t>Strength / limitation</w:t>
            </w:r>
          </w:p>
        </w:tc>
        <w:tc>
          <w:tcPr>
            <w:tcW w:type="dxa" w:w="1944"/>
            <w:vAlign w:val="center"/>
            <w:tcMar>
              <w:top w:w="90" w:type="dxa"/>
              <w:left w:w="90" w:type="dxa"/>
              <w:bottom w:w="90" w:type="dxa"/>
              <w:right w:w="90" w:type="dxa"/>
            </w:tcMar>
            <w:shd w:fill="D9EAF7"/>
          </w:tcPr>
          <w:p>
            <w:pPr>
              <w:spacing w:after="0" w:line="240" w:lineRule="auto"/>
              <w:jc w:val="center"/>
            </w:pPr>
            <w:r/>
            <w:r>
              <w:rPr>
                <w:rFonts w:ascii="Times New Roman" w:hAnsi="Times New Roman"/>
                <w:b/>
                <w:sz w:val="16"/>
              </w:rPr>
              <w:t>Team 1 implication</w:t>
            </w:r>
          </w:p>
        </w:tc>
      </w:tr>
      <w:tr>
        <w:tc>
          <w:tcPr>
            <w:tcW w:type="dxa" w:w="1512"/>
            <w:vAlign w:val="center"/>
            <w:tcMar>
              <w:top w:w="90" w:type="dxa"/>
              <w:left w:w="90" w:type="dxa"/>
              <w:bottom w:w="90" w:type="dxa"/>
              <w:right w:w="90" w:type="dxa"/>
            </w:tcMar>
          </w:tcPr>
          <w:p>
            <w:pPr>
              <w:spacing w:after="0" w:line="240" w:lineRule="auto"/>
              <w:jc w:val="left"/>
            </w:pPr>
            <w:r/>
            <w:r>
              <w:rPr>
                <w:rFonts w:ascii="Times New Roman" w:hAnsi="Times New Roman"/>
                <w:b w:val="0"/>
                <w:sz w:val="16"/>
              </w:rPr>
              <w:t>[1] Berti et al., 2024</w:t>
            </w:r>
          </w:p>
        </w:tc>
        <w:tc>
          <w:tcPr>
            <w:tcW w:type="dxa" w:w="1728"/>
            <w:vAlign w:val="center"/>
            <w:tcMar>
              <w:top w:w="90" w:type="dxa"/>
              <w:left w:w="90" w:type="dxa"/>
              <w:bottom w:w="90" w:type="dxa"/>
              <w:right w:w="90" w:type="dxa"/>
            </w:tcMar>
          </w:tcPr>
          <w:p>
            <w:pPr>
              <w:spacing w:after="0" w:line="240" w:lineRule="auto"/>
              <w:jc w:val="left"/>
            </w:pPr>
            <w:r/>
            <w:r>
              <w:rPr>
                <w:rFonts w:ascii="Times New Roman" w:hAnsi="Times New Roman"/>
                <w:b w:val="0"/>
                <w:sz w:val="16"/>
              </w:rPr>
              <w:t>OCEL 2.0 specification</w:t>
            </w:r>
          </w:p>
        </w:tc>
        <w:tc>
          <w:tcPr>
            <w:tcW w:type="dxa" w:w="1944"/>
            <w:vAlign w:val="center"/>
            <w:tcMar>
              <w:top w:w="90" w:type="dxa"/>
              <w:left w:w="90" w:type="dxa"/>
              <w:bottom w:w="90" w:type="dxa"/>
              <w:right w:w="90" w:type="dxa"/>
            </w:tcMar>
          </w:tcPr>
          <w:p>
            <w:pPr>
              <w:spacing w:after="0" w:line="240" w:lineRule="auto"/>
              <w:jc w:val="left"/>
            </w:pPr>
            <w:r/>
            <w:r>
              <w:rPr>
                <w:rFonts w:ascii="Times New Roman" w:hAnsi="Times New Roman"/>
                <w:b w:val="0"/>
                <w:sz w:val="16"/>
              </w:rPr>
              <w:t>Metamodel and SQLite/XML/JSON formats</w:t>
            </w:r>
          </w:p>
        </w:tc>
        <w:tc>
          <w:tcPr>
            <w:tcW w:type="dxa" w:w="1944"/>
            <w:vAlign w:val="center"/>
            <w:tcMar>
              <w:top w:w="90" w:type="dxa"/>
              <w:left w:w="90" w:type="dxa"/>
              <w:bottom w:w="90" w:type="dxa"/>
              <w:right w:w="90" w:type="dxa"/>
            </w:tcMar>
          </w:tcPr>
          <w:p>
            <w:pPr>
              <w:spacing w:after="0" w:line="240" w:lineRule="auto"/>
              <w:jc w:val="left"/>
            </w:pPr>
            <w:r/>
            <w:r>
              <w:rPr>
                <w:rFonts w:ascii="Times New Roman" w:hAnsi="Times New Roman"/>
                <w:b w:val="0"/>
                <w:sz w:val="16"/>
              </w:rPr>
              <w:t>Authoritative format; not an empirical evaluation</w:t>
            </w:r>
          </w:p>
        </w:tc>
        <w:tc>
          <w:tcPr>
            <w:tcW w:type="dxa" w:w="1944"/>
            <w:vAlign w:val="center"/>
            <w:tcMar>
              <w:top w:w="90" w:type="dxa"/>
              <w:left w:w="90" w:type="dxa"/>
              <w:bottom w:w="90" w:type="dxa"/>
              <w:right w:w="90" w:type="dxa"/>
            </w:tcMar>
          </w:tcPr>
          <w:p>
            <w:pPr>
              <w:spacing w:after="0" w:line="240" w:lineRule="auto"/>
              <w:jc w:val="left"/>
            </w:pPr>
            <w:r/>
            <w:r>
              <w:rPr>
                <w:rFonts w:ascii="Times New Roman" w:hAnsi="Times New Roman"/>
                <w:b w:val="0"/>
                <w:sz w:val="16"/>
              </w:rPr>
              <w:t>Defines export and validation target</w:t>
            </w:r>
          </w:p>
        </w:tc>
      </w:tr>
      <w:tr>
        <w:tc>
          <w:tcPr>
            <w:tcW w:type="dxa" w:w="1512"/>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6"/>
              </w:rPr>
              <w:t>[2] van der Aalst, 2019</w:t>
            </w:r>
          </w:p>
        </w:tc>
        <w:tc>
          <w:tcPr>
            <w:tcW w:type="dxa" w:w="1728"/>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6"/>
              </w:rPr>
              <w:t>Avoid single-case distortion</w:t>
            </w:r>
          </w:p>
        </w:tc>
        <w:tc>
          <w:tcPr>
            <w:tcW w:type="dxa" w:w="1944"/>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6"/>
              </w:rPr>
              <w:t>Object-centric event-data theory</w:t>
            </w:r>
          </w:p>
        </w:tc>
        <w:tc>
          <w:tcPr>
            <w:tcW w:type="dxa" w:w="1944"/>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6"/>
              </w:rPr>
              <w:t>Foundational; mainly conceptual</w:t>
            </w:r>
          </w:p>
        </w:tc>
        <w:tc>
          <w:tcPr>
            <w:tcW w:type="dxa" w:w="1944"/>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6"/>
              </w:rPr>
              <w:t>Explains divergence/convergence risk</w:t>
            </w:r>
          </w:p>
        </w:tc>
      </w:tr>
      <w:tr>
        <w:tc>
          <w:tcPr>
            <w:tcW w:type="dxa" w:w="1512"/>
            <w:vAlign w:val="center"/>
            <w:tcMar>
              <w:top w:w="90" w:type="dxa"/>
              <w:left w:w="90" w:type="dxa"/>
              <w:bottom w:w="90" w:type="dxa"/>
              <w:right w:w="90" w:type="dxa"/>
            </w:tcMar>
          </w:tcPr>
          <w:p>
            <w:pPr>
              <w:spacing w:after="0" w:line="240" w:lineRule="auto"/>
              <w:jc w:val="left"/>
            </w:pPr>
            <w:r/>
            <w:r>
              <w:rPr>
                <w:rFonts w:ascii="Times New Roman" w:hAnsi="Times New Roman"/>
                <w:b w:val="0"/>
                <w:sz w:val="16"/>
              </w:rPr>
              <w:t>[3] Park et al., 2024</w:t>
            </w:r>
          </w:p>
        </w:tc>
        <w:tc>
          <w:tcPr>
            <w:tcW w:type="dxa" w:w="1728"/>
            <w:vAlign w:val="center"/>
            <w:tcMar>
              <w:top w:w="90" w:type="dxa"/>
              <w:left w:w="90" w:type="dxa"/>
              <w:bottom w:w="90" w:type="dxa"/>
              <w:right w:w="90" w:type="dxa"/>
            </w:tcMar>
          </w:tcPr>
          <w:p>
            <w:pPr>
              <w:spacing w:after="0" w:line="240" w:lineRule="auto"/>
              <w:jc w:val="left"/>
            </w:pPr>
            <w:r/>
            <w:r>
              <w:rPr>
                <w:rFonts w:ascii="Times New Roman" w:hAnsi="Times New Roman"/>
                <w:b w:val="0"/>
                <w:sz w:val="16"/>
              </w:rPr>
              <w:t>Conformance and performance</w:t>
            </w:r>
          </w:p>
        </w:tc>
        <w:tc>
          <w:tcPr>
            <w:tcW w:type="dxa" w:w="1944"/>
            <w:vAlign w:val="center"/>
            <w:tcMar>
              <w:top w:w="90" w:type="dxa"/>
              <w:left w:w="90" w:type="dxa"/>
              <w:bottom w:w="90" w:type="dxa"/>
              <w:right w:w="90" w:type="dxa"/>
            </w:tcMar>
          </w:tcPr>
          <w:p>
            <w:pPr>
              <w:spacing w:after="0" w:line="240" w:lineRule="auto"/>
              <w:jc w:val="left"/>
            </w:pPr>
            <w:r/>
            <w:r>
              <w:rPr>
                <w:rFonts w:ascii="Times New Roman" w:hAnsi="Times New Roman"/>
                <w:b w:val="0"/>
                <w:sz w:val="16"/>
              </w:rPr>
              <w:t>OC-DFG comparison</w:t>
            </w:r>
          </w:p>
        </w:tc>
        <w:tc>
          <w:tcPr>
            <w:tcW w:type="dxa" w:w="1944"/>
            <w:vAlign w:val="center"/>
            <w:tcMar>
              <w:top w:w="90" w:type="dxa"/>
              <w:left w:w="90" w:type="dxa"/>
              <w:bottom w:w="90" w:type="dxa"/>
              <w:right w:w="90" w:type="dxa"/>
            </w:tcMar>
          </w:tcPr>
          <w:p>
            <w:pPr>
              <w:spacing w:after="0" w:line="240" w:lineRule="auto"/>
              <w:jc w:val="left"/>
            </w:pPr>
            <w:r/>
            <w:r>
              <w:rPr>
                <w:rFonts w:ascii="Times New Roman" w:hAnsi="Times New Roman"/>
                <w:b w:val="0"/>
                <w:sz w:val="16"/>
              </w:rPr>
              <w:t>Operational analysis; graph abstraction</w:t>
            </w:r>
          </w:p>
        </w:tc>
        <w:tc>
          <w:tcPr>
            <w:tcW w:type="dxa" w:w="1944"/>
            <w:vAlign w:val="center"/>
            <w:tcMar>
              <w:top w:w="90" w:type="dxa"/>
              <w:left w:w="90" w:type="dxa"/>
              <w:bottom w:w="90" w:type="dxa"/>
              <w:right w:w="90" w:type="dxa"/>
            </w:tcMar>
          </w:tcPr>
          <w:p>
            <w:pPr>
              <w:spacing w:after="0" w:line="240" w:lineRule="auto"/>
              <w:jc w:val="left"/>
            </w:pPr>
            <w:r/>
            <w:r>
              <w:rPr>
                <w:rFonts w:ascii="Times New Roman" w:hAnsi="Times New Roman"/>
                <w:b w:val="0"/>
                <w:sz w:val="16"/>
              </w:rPr>
              <w:t>Baseline family for deviations</w:t>
            </w:r>
          </w:p>
        </w:tc>
      </w:tr>
      <w:tr>
        <w:tc>
          <w:tcPr>
            <w:tcW w:type="dxa" w:w="1512"/>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6"/>
              </w:rPr>
              <w:t>[4] Park &amp; van der Aalst, 2021</w:t>
            </w:r>
          </w:p>
        </w:tc>
        <w:tc>
          <w:tcPr>
            <w:tcW w:type="dxa" w:w="1728"/>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6"/>
              </w:rPr>
              <w:t>Action-oriented digital twin</w:t>
            </w:r>
          </w:p>
        </w:tc>
        <w:tc>
          <w:tcPr>
            <w:tcW w:type="dxa" w:w="1944"/>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6"/>
              </w:rPr>
              <w:t>Process mining plus interventions</w:t>
            </w:r>
          </w:p>
        </w:tc>
        <w:tc>
          <w:tcPr>
            <w:tcW w:type="dxa" w:w="1944"/>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6"/>
              </w:rPr>
              <w:t>Strong intervention framing; not education-specific</w:t>
            </w:r>
          </w:p>
        </w:tc>
        <w:tc>
          <w:tcPr>
            <w:tcW w:type="dxa" w:w="1944"/>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6"/>
              </w:rPr>
              <w:t>Supports offline what-if layer</w:t>
            </w:r>
          </w:p>
        </w:tc>
      </w:tr>
      <w:tr>
        <w:tc>
          <w:tcPr>
            <w:tcW w:type="dxa" w:w="1512"/>
            <w:vAlign w:val="center"/>
            <w:tcMar>
              <w:top w:w="90" w:type="dxa"/>
              <w:left w:w="90" w:type="dxa"/>
              <w:bottom w:w="90" w:type="dxa"/>
              <w:right w:w="90" w:type="dxa"/>
            </w:tcMar>
          </w:tcPr>
          <w:p>
            <w:pPr>
              <w:spacing w:after="0" w:line="240" w:lineRule="auto"/>
              <w:jc w:val="left"/>
            </w:pPr>
            <w:r/>
            <w:r>
              <w:rPr>
                <w:rFonts w:ascii="Times New Roman" w:hAnsi="Times New Roman"/>
                <w:b w:val="0"/>
                <w:sz w:val="16"/>
              </w:rPr>
              <w:t>[5] Bogarín et al., 2018</w:t>
            </w:r>
          </w:p>
        </w:tc>
        <w:tc>
          <w:tcPr>
            <w:tcW w:type="dxa" w:w="1728"/>
            <w:vAlign w:val="center"/>
            <w:tcMar>
              <w:top w:w="90" w:type="dxa"/>
              <w:left w:w="90" w:type="dxa"/>
              <w:bottom w:w="90" w:type="dxa"/>
              <w:right w:w="90" w:type="dxa"/>
            </w:tcMar>
          </w:tcPr>
          <w:p>
            <w:pPr>
              <w:spacing w:after="0" w:line="240" w:lineRule="auto"/>
              <w:jc w:val="left"/>
            </w:pPr>
            <w:r/>
            <w:r>
              <w:rPr>
                <w:rFonts w:ascii="Times New Roman" w:hAnsi="Times New Roman"/>
                <w:b w:val="0"/>
                <w:sz w:val="16"/>
              </w:rPr>
              <w:t>Survey educational process mining</w:t>
            </w:r>
          </w:p>
        </w:tc>
        <w:tc>
          <w:tcPr>
            <w:tcW w:type="dxa" w:w="1944"/>
            <w:vAlign w:val="center"/>
            <w:tcMar>
              <w:top w:w="90" w:type="dxa"/>
              <w:left w:w="90" w:type="dxa"/>
              <w:bottom w:w="90" w:type="dxa"/>
              <w:right w:w="90" w:type="dxa"/>
            </w:tcMar>
          </w:tcPr>
          <w:p>
            <w:pPr>
              <w:spacing w:after="0" w:line="240" w:lineRule="auto"/>
              <w:jc w:val="left"/>
            </w:pPr>
            <w:r/>
            <w:r>
              <w:rPr>
                <w:rFonts w:ascii="Times New Roman" w:hAnsi="Times New Roman"/>
                <w:b w:val="0"/>
                <w:sz w:val="16"/>
              </w:rPr>
              <w:t>Systematic survey</w:t>
            </w:r>
          </w:p>
        </w:tc>
        <w:tc>
          <w:tcPr>
            <w:tcW w:type="dxa" w:w="1944"/>
            <w:vAlign w:val="center"/>
            <w:tcMar>
              <w:top w:w="90" w:type="dxa"/>
              <w:left w:w="90" w:type="dxa"/>
              <w:bottom w:w="90" w:type="dxa"/>
              <w:right w:w="90" w:type="dxa"/>
            </w:tcMar>
          </w:tcPr>
          <w:p>
            <w:pPr>
              <w:spacing w:after="0" w:line="240" w:lineRule="auto"/>
              <w:jc w:val="left"/>
            </w:pPr>
            <w:r/>
            <w:r>
              <w:rPr>
                <w:rFonts w:ascii="Times New Roman" w:hAnsi="Times New Roman"/>
                <w:b w:val="0"/>
                <w:sz w:val="16"/>
              </w:rPr>
              <w:t>Broad coverage; largely case-centric</w:t>
            </w:r>
          </w:p>
        </w:tc>
        <w:tc>
          <w:tcPr>
            <w:tcW w:type="dxa" w:w="1944"/>
            <w:vAlign w:val="center"/>
            <w:tcMar>
              <w:top w:w="90" w:type="dxa"/>
              <w:left w:w="90" w:type="dxa"/>
              <w:bottom w:w="90" w:type="dxa"/>
              <w:right w:w="90" w:type="dxa"/>
            </w:tcMar>
          </w:tcPr>
          <w:p>
            <w:pPr>
              <w:spacing w:after="0" w:line="240" w:lineRule="auto"/>
              <w:jc w:val="left"/>
            </w:pPr>
            <w:r/>
            <w:r>
              <w:rPr>
                <w:rFonts w:ascii="Times New Roman" w:hAnsi="Times New Roman"/>
                <w:b w:val="0"/>
                <w:sz w:val="16"/>
              </w:rPr>
              <w:t>Establishes educational PM context</w:t>
            </w:r>
          </w:p>
        </w:tc>
      </w:tr>
      <w:tr>
        <w:tc>
          <w:tcPr>
            <w:tcW w:type="dxa" w:w="1512"/>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6"/>
              </w:rPr>
              <w:t>[6] Calegari &amp; Delgado, 2025</w:t>
            </w:r>
          </w:p>
        </w:tc>
        <w:tc>
          <w:tcPr>
            <w:tcW w:type="dxa" w:w="1728"/>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6"/>
              </w:rPr>
              <w:t>Curricular process-mining review</w:t>
            </w:r>
          </w:p>
        </w:tc>
        <w:tc>
          <w:tcPr>
            <w:tcW w:type="dxa" w:w="1944"/>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6"/>
              </w:rPr>
              <w:t>Systematic literature review</w:t>
            </w:r>
          </w:p>
        </w:tc>
        <w:tc>
          <w:tcPr>
            <w:tcW w:type="dxa" w:w="1944"/>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6"/>
              </w:rPr>
              <w:t>Recent evidence; curricular emphasis</w:t>
            </w:r>
          </w:p>
        </w:tc>
        <w:tc>
          <w:tcPr>
            <w:tcW w:type="dxa" w:w="1944"/>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6"/>
              </w:rPr>
              <w:t>Confirms need for rigorous protocols</w:t>
            </w:r>
          </w:p>
        </w:tc>
      </w:tr>
      <w:tr>
        <w:tc>
          <w:tcPr>
            <w:tcW w:type="dxa" w:w="1512"/>
            <w:vAlign w:val="center"/>
            <w:tcMar>
              <w:top w:w="90" w:type="dxa"/>
              <w:left w:w="90" w:type="dxa"/>
              <w:bottom w:w="90" w:type="dxa"/>
              <w:right w:w="90" w:type="dxa"/>
            </w:tcMar>
          </w:tcPr>
          <w:p>
            <w:pPr>
              <w:spacing w:after="0" w:line="240" w:lineRule="auto"/>
              <w:jc w:val="left"/>
            </w:pPr>
            <w:r/>
            <w:r>
              <w:rPr>
                <w:rFonts w:ascii="Times New Roman" w:hAnsi="Times New Roman"/>
                <w:b w:val="0"/>
                <w:sz w:val="16"/>
              </w:rPr>
              <w:t>[7] Miri et al., 2026</w:t>
            </w:r>
          </w:p>
        </w:tc>
        <w:tc>
          <w:tcPr>
            <w:tcW w:type="dxa" w:w="1728"/>
            <w:vAlign w:val="center"/>
            <w:tcMar>
              <w:top w:w="90" w:type="dxa"/>
              <w:left w:w="90" w:type="dxa"/>
              <w:bottom w:w="90" w:type="dxa"/>
              <w:right w:w="90" w:type="dxa"/>
            </w:tcMar>
          </w:tcPr>
          <w:p>
            <w:pPr>
              <w:spacing w:after="0" w:line="240" w:lineRule="auto"/>
              <w:jc w:val="left"/>
            </w:pPr>
            <w:r/>
            <w:r>
              <w:rPr>
                <w:rFonts w:ascii="Times New Roman" w:hAnsi="Times New Roman"/>
                <w:b w:val="0"/>
                <w:sz w:val="16"/>
              </w:rPr>
              <w:t>Multi-entity educational PM</w:t>
            </w:r>
          </w:p>
        </w:tc>
        <w:tc>
          <w:tcPr>
            <w:tcW w:type="dxa" w:w="1944"/>
            <w:vAlign w:val="center"/>
            <w:tcMar>
              <w:top w:w="90" w:type="dxa"/>
              <w:left w:w="90" w:type="dxa"/>
              <w:bottom w:w="90" w:type="dxa"/>
              <w:right w:w="90" w:type="dxa"/>
            </w:tcMar>
          </w:tcPr>
          <w:p>
            <w:pPr>
              <w:spacing w:after="0" w:line="240" w:lineRule="auto"/>
              <w:jc w:val="left"/>
            </w:pPr>
            <w:r/>
            <w:r>
              <w:rPr>
                <w:rFonts w:ascii="Times New Roman" w:hAnsi="Times New Roman"/>
                <w:b w:val="0"/>
                <w:sz w:val="16"/>
              </w:rPr>
              <w:t>PM4Moodle to OCEL 2.0; real-course case</w:t>
            </w:r>
          </w:p>
        </w:tc>
        <w:tc>
          <w:tcPr>
            <w:tcW w:type="dxa" w:w="1944"/>
            <w:vAlign w:val="center"/>
            <w:tcMar>
              <w:top w:w="90" w:type="dxa"/>
              <w:left w:w="90" w:type="dxa"/>
              <w:bottom w:w="90" w:type="dxa"/>
              <w:right w:w="90" w:type="dxa"/>
            </w:tcMar>
          </w:tcPr>
          <w:p>
            <w:pPr>
              <w:spacing w:after="0" w:line="240" w:lineRule="auto"/>
              <w:jc w:val="left"/>
            </w:pPr>
            <w:r/>
            <w:r>
              <w:rPr>
                <w:rFonts w:ascii="Times New Roman" w:hAnsi="Times New Roman"/>
                <w:b w:val="0"/>
                <w:sz w:val="16"/>
              </w:rPr>
              <w:t>Direct educational OCEL prior art; LMS activity focus</w:t>
            </w:r>
          </w:p>
        </w:tc>
        <w:tc>
          <w:tcPr>
            <w:tcW w:type="dxa" w:w="1944"/>
            <w:vAlign w:val="center"/>
            <w:tcMar>
              <w:top w:w="90" w:type="dxa"/>
              <w:left w:w="90" w:type="dxa"/>
              <w:bottom w:w="90" w:type="dxa"/>
              <w:right w:w="90" w:type="dxa"/>
            </w:tcMar>
          </w:tcPr>
          <w:p>
            <w:pPr>
              <w:spacing w:after="0" w:line="240" w:lineRule="auto"/>
              <w:jc w:val="left"/>
            </w:pPr>
            <w:r/>
            <w:r>
              <w:rPr>
                <w:rFonts w:ascii="Times New Roman" w:hAnsi="Times New Roman"/>
                <w:b w:val="0"/>
                <w:sz w:val="16"/>
              </w:rPr>
              <w:t>Invalidates broad ‘first in education’ claim</w:t>
            </w:r>
          </w:p>
        </w:tc>
      </w:tr>
      <w:tr>
        <w:tc>
          <w:tcPr>
            <w:tcW w:type="dxa" w:w="1512"/>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6"/>
              </w:rPr>
              <w:t>[8] Wei et al., 2025</w:t>
            </w:r>
          </w:p>
        </w:tc>
        <w:tc>
          <w:tcPr>
            <w:tcW w:type="dxa" w:w="1728"/>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6"/>
              </w:rPr>
              <w:t>Improve object-centric extraction</w:t>
            </w:r>
          </w:p>
        </w:tc>
        <w:tc>
          <w:tcPr>
            <w:tcW w:type="dxa" w:w="1944"/>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6"/>
              </w:rPr>
              <w:t>Dirigo and representation-quality criteria</w:t>
            </w:r>
          </w:p>
        </w:tc>
        <w:tc>
          <w:tcPr>
            <w:tcW w:type="dxa" w:w="1944"/>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6"/>
              </w:rPr>
              <w:t>General extraction method</w:t>
            </w:r>
          </w:p>
        </w:tc>
        <w:tc>
          <w:tcPr>
            <w:tcW w:type="dxa" w:w="1944"/>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6"/>
              </w:rPr>
              <w:t>Quality baseline for Educational Capstone Portal mapper</w:t>
            </w:r>
          </w:p>
        </w:tc>
      </w:tr>
    </w:tbl>
    <w:p>
      <w:pPr>
        <w:spacing w:after="0"/>
      </w:pPr>
    </w:p>
    <w:p>
      <w:pPr>
        <w:pStyle w:val="Heading2"/>
        <w:jc w:val="left"/>
      </w:pPr>
      <w:r>
        <w:rPr>
          <w:rFonts w:ascii="Times New Roman" w:hAnsi="Times New Roman"/>
          <w:b/>
          <w:i w:val="0"/>
          <w:sz w:val="26"/>
        </w:rPr>
        <w:t>2.2 Research Gap</w:t>
      </w:r>
    </w:p>
    <w:p>
      <w:pPr>
        <w:spacing w:line="276" w:lineRule="auto" w:after="120"/>
        <w:ind w:firstLine="432"/>
        <w:jc w:val="both"/>
      </w:pPr>
      <w:r>
        <w:rPr>
          <w:rFonts w:ascii="Times New Roman" w:hAnsi="Times New Roman"/>
          <w:sz w:val="24"/>
        </w:rPr>
        <w:t>A June 2026 peer-reviewed study already demonstrates OCEL 2.0 extraction from Moodle. Team 1 therefore must not claim to be the first object-centric educational process-mining project. The defensible gap is narrower: transactional capstone lifecycles combine projects, teams, students, faculty, versioned reports, formal review stages, immutable scores, attempt limits and live guide capacity. The targeted literature does not directly evaluate this combination using a documentation-grounded synthetic oracle and representation-level observability tests.</w:t>
      </w:r>
    </w:p>
    <w:p>
      <w:pPr>
        <w:keepNext/>
        <w:jc w:val="center"/>
      </w:pPr>
      <w:r>
        <w:drawing>
          <wp:inline xmlns:a="http://schemas.openxmlformats.org/drawingml/2006/main" xmlns:pic="http://schemas.openxmlformats.org/drawingml/2006/picture">
            <wp:extent cx="5623560" cy="2624328"/>
            <wp:docPr id="2" name="Picture 2" title="Fig" descr="Fig. 1. Documentation-grounded normative–descriptive–adversarial evaluation design."/>
            <wp:cNvGraphicFramePr>
              <a:graphicFrameLocks noChangeAspect="1"/>
            </wp:cNvGraphicFramePr>
            <a:graphic>
              <a:graphicData uri="http://schemas.openxmlformats.org/drawingml/2006/picture">
                <pic:pic>
                  <pic:nvPicPr>
                    <pic:cNvPr id="0" name="novelty_triad.png"/>
                    <pic:cNvPicPr/>
                  </pic:nvPicPr>
                  <pic:blipFill>
                    <a:blip r:embed="rId18"/>
                    <a:stretch>
                      <a:fillRect/>
                    </a:stretch>
                  </pic:blipFill>
                  <pic:spPr>
                    <a:xfrm>
                      <a:off x="0" y="0"/>
                      <a:ext cx="5623560" cy="2624328"/>
                    </a:xfrm>
                    <a:prstGeom prst="rect"/>
                  </pic:spPr>
                </pic:pic>
              </a:graphicData>
            </a:graphic>
          </wp:inline>
        </w:drawing>
      </w:r>
    </w:p>
    <w:p>
      <w:pPr>
        <w:keepNext w:val="0"/>
        <w:spacing w:after="160"/>
        <w:jc w:val="center"/>
      </w:pPr>
      <w:r>
        <w:rPr>
          <w:rFonts w:ascii="Times New Roman" w:hAnsi="Times New Roman"/>
          <w:sz w:val="22"/>
        </w:rPr>
        <w:t>Fig. 1. Documentation-grounded normative–descriptive–adversarial evaluation design.</w:t>
      </w:r>
    </w:p>
    <w:p>
      <w:pPr>
        <w:spacing w:line="276" w:lineRule="auto" w:after="120"/>
        <w:ind w:firstLine="432"/>
        <w:jc w:val="both"/>
      </w:pPr>
      <w:r>
        <w:rPr>
          <w:rFonts w:ascii="Times New Roman" w:hAnsi="Times New Roman"/>
          <w:sz w:val="24"/>
        </w:rPr>
        <w:t>The proposed methodological contribution is the triad shown in Fig. 1: (A) the intended clean lifecycle, (B) the documented current implementation, and (C) controlled counterfactuals derived from named Educational Capstone Portal gaps. Every injected condition carries an oracle label and an executable predicate. This design makes synthetic evidence falsifiable and traceable to engineering documentation.</w:t>
      </w:r>
    </w:p>
    <w:p>
      <w:pPr>
        <w:pStyle w:val="Heading3"/>
        <w:jc w:val="left"/>
      </w:pPr>
      <w:r>
        <w:rPr>
          <w:rFonts w:ascii="Times New Roman" w:hAnsi="Times New Roman"/>
          <w:b/>
          <w:i/>
          <w:sz w:val="24"/>
        </w:rPr>
        <w:t>2.2.1 Cross-Object Observability Coverage</w:t>
      </w:r>
    </w:p>
    <w:p>
      <w:pPr>
        <w:spacing w:line="276" w:lineRule="auto" w:after="120"/>
        <w:ind w:firstLine="432"/>
        <w:jc w:val="both"/>
      </w:pPr>
      <w:r>
        <w:rPr>
          <w:rFonts w:ascii="Times New Roman" w:hAnsi="Times New Roman"/>
          <w:sz w:val="24"/>
        </w:rPr>
        <w:t>For a representation R and preregistered predicate set P, the study-specific Cross-Object Observability Coverage is COOC(R) = |{p in P: p is computable from R and correct on oracle tests}| / |P|. COOC is an analysis-readiness measure for the declared predicate set, not a universal measure of OCEL quality. It is reported separately from Source Instrumentation Coverage, which asks whether the necessary evidence was logged before representation.</w:t>
      </w:r>
    </w:p>
    <w:p>
      <w:pPr>
        <w:pStyle w:val="Heading2"/>
        <w:jc w:val="left"/>
      </w:pPr>
      <w:r>
        <w:rPr>
          <w:rFonts w:ascii="Times New Roman" w:hAnsi="Times New Roman"/>
          <w:b/>
          <w:i w:val="0"/>
          <w:sz w:val="26"/>
        </w:rPr>
        <w:t>2.3 Objectives</w:t>
      </w:r>
    </w:p>
    <w:p>
      <w:pPr>
        <w:spacing w:line="276" w:lineRule="auto" w:after="80"/>
        <w:ind w:left="360" w:hanging="259"/>
        <w:jc w:val="both"/>
      </w:pPr>
      <w:r>
        <w:rPr>
          <w:rFonts w:ascii="Times New Roman" w:hAnsi="Times New Roman"/>
          <w:sz w:val="24"/>
        </w:rPr>
        <w:t xml:space="preserve">• </w:t>
      </w:r>
      <w:r>
        <w:rPr>
          <w:rFonts w:ascii="Times New Roman" w:hAnsi="Times New Roman"/>
          <w:b/>
          <w:sz w:val="24"/>
        </w:rPr>
        <w:t xml:space="preserve">O1 — Native mapping: </w:t>
      </w:r>
      <w:r>
        <w:rPr>
          <w:rFonts w:ascii="Times New Roman" w:hAnsi="Times New Roman"/>
          <w:sz w:val="24"/>
        </w:rPr>
        <w:t>define and validate an OCEL 2.0 mapping for Project, Team, Student, Faculty, ReportVersion, ReviewStage and Score.</w:t>
      </w:r>
    </w:p>
    <w:p>
      <w:pPr>
        <w:spacing w:line="276" w:lineRule="auto" w:after="80"/>
        <w:ind w:left="360" w:hanging="259"/>
        <w:jc w:val="both"/>
      </w:pPr>
      <w:r>
        <w:rPr>
          <w:rFonts w:ascii="Times New Roman" w:hAnsi="Times New Roman"/>
          <w:sz w:val="24"/>
        </w:rPr>
        <w:t xml:space="preserve">• </w:t>
      </w:r>
      <w:r>
        <w:rPr>
          <w:rFonts w:ascii="Times New Roman" w:hAnsi="Times New Roman"/>
          <w:b/>
          <w:sz w:val="24"/>
        </w:rPr>
        <w:t xml:space="preserve">O2 — Representation ablation: </w:t>
      </w:r>
      <w:r>
        <w:rPr>
          <w:rFonts w:ascii="Times New Roman" w:hAnsi="Times New Roman"/>
          <w:sz w:val="24"/>
        </w:rPr>
        <w:t>quantify event–object relation retention and COOC under project-, student- and report-version-centric flattening.</w:t>
      </w:r>
    </w:p>
    <w:p>
      <w:pPr>
        <w:spacing w:line="276" w:lineRule="auto" w:after="80"/>
        <w:ind w:left="360" w:hanging="259"/>
        <w:jc w:val="both"/>
      </w:pPr>
      <w:r>
        <w:rPr>
          <w:rFonts w:ascii="Times New Roman" w:hAnsi="Times New Roman"/>
          <w:sz w:val="24"/>
        </w:rPr>
        <w:t xml:space="preserve">• </w:t>
      </w:r>
      <w:r>
        <w:rPr>
          <w:rFonts w:ascii="Times New Roman" w:hAnsi="Times New Roman"/>
          <w:b/>
          <w:sz w:val="24"/>
        </w:rPr>
        <w:t xml:space="preserve">O3 — Conformance evidence: </w:t>
      </w:r>
      <w:r>
        <w:rPr>
          <w:rFonts w:ascii="Times New Roman" w:hAnsi="Times New Roman"/>
          <w:sz w:val="24"/>
        </w:rPr>
        <w:t>execute six documentation-grounded risk predicates and report per-risk precision, recall and F1.</w:t>
      </w:r>
    </w:p>
    <w:p>
      <w:pPr>
        <w:spacing w:line="276" w:lineRule="auto" w:after="80"/>
        <w:ind w:left="360" w:hanging="259"/>
        <w:jc w:val="both"/>
      </w:pPr>
      <w:r>
        <w:rPr>
          <w:rFonts w:ascii="Times New Roman" w:hAnsi="Times New Roman"/>
          <w:sz w:val="24"/>
        </w:rPr>
        <w:t xml:space="preserve">• </w:t>
      </w:r>
      <w:r>
        <w:rPr>
          <w:rFonts w:ascii="Times New Roman" w:hAnsi="Times New Roman"/>
          <w:b/>
          <w:sz w:val="24"/>
        </w:rPr>
        <w:t xml:space="preserve">O4 — Prediction and intervention: </w:t>
      </w:r>
      <w:r>
        <w:rPr>
          <w:rFonts w:ascii="Times New Roman" w:hAnsi="Times New Roman"/>
          <w:sz w:val="24"/>
        </w:rPr>
        <w:t>evaluate a leakage-resistant next-transition baseline and offline attempt/capacity scenarios.</w:t>
      </w:r>
    </w:p>
    <w:p>
      <w:pPr>
        <w:spacing w:line="276" w:lineRule="auto" w:after="80"/>
        <w:ind w:left="360" w:hanging="259"/>
        <w:jc w:val="both"/>
      </w:pPr>
      <w:r>
        <w:rPr>
          <w:rFonts w:ascii="Times New Roman" w:hAnsi="Times New Roman"/>
          <w:sz w:val="24"/>
        </w:rPr>
        <w:t xml:space="preserve">• </w:t>
      </w:r>
      <w:r>
        <w:rPr>
          <w:rFonts w:ascii="Times New Roman" w:hAnsi="Times New Roman"/>
          <w:b/>
          <w:sz w:val="24"/>
        </w:rPr>
        <w:t xml:space="preserve">O5 — Reproducibility and ethics: </w:t>
      </w:r>
      <w:r>
        <w:rPr>
          <w:rFonts w:ascii="Times New Roman" w:hAnsi="Times New Roman"/>
          <w:sz w:val="24"/>
        </w:rPr>
        <w:t>release seeds, assumptions, validation reports and synthetic labels while keeping real data behind approval and de-identification gates.</w:t>
      </w:r>
    </w:p>
    <w:p>
      <w:pPr>
        <w:pStyle w:val="Heading2"/>
        <w:jc w:val="left"/>
      </w:pPr>
      <w:r>
        <w:rPr>
          <w:rFonts w:ascii="Times New Roman" w:hAnsi="Times New Roman"/>
          <w:b/>
          <w:i w:val="0"/>
          <w:sz w:val="26"/>
        </w:rPr>
        <w:t>2.4 Problem Statement</w:t>
      </w:r>
    </w:p>
    <w:p>
      <w:pPr>
        <w:spacing w:line="276" w:lineRule="auto" w:after="120"/>
        <w:ind w:firstLine="432"/>
        <w:jc w:val="both"/>
      </w:pPr>
      <w:r>
        <w:rPr>
          <w:rFonts w:ascii="Times New Roman" w:hAnsi="Times New Roman"/>
          <w:sz w:val="24"/>
        </w:rPr>
        <w:t>How can Educational Capstone Portal’s multi-object capstone process be represented and analysed without losing cross-object provenance, and which documented risks and intervention questions remain observable after conventional single-case flattening? The current phase asks this as a synthetic, reproducible feasibility question; the later journal phase will test whether findings persist on de-identified production logs.</w:t>
      </w:r>
    </w:p>
    <w:p>
      <w:pPr>
        <w:pStyle w:val="Heading2"/>
        <w:jc w:val="left"/>
      </w:pPr>
      <w:r>
        <w:rPr>
          <w:rFonts w:ascii="Times New Roman" w:hAnsi="Times New Roman"/>
          <w:b/>
          <w:i w:val="0"/>
          <w:sz w:val="26"/>
        </w:rPr>
        <w:t>2.5 Project Plan</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tblHeader w:val="true"/>
        </w:trPr>
        <w:tc>
          <w:tcPr>
            <w:tcW w:type="dxa" w:w="2088"/>
            <w:vAlign w:val="center"/>
            <w:tcMar>
              <w:top w:w="90" w:type="dxa"/>
              <w:left w:w="90" w:type="dxa"/>
              <w:bottom w:w="90" w:type="dxa"/>
              <w:right w:w="90" w:type="dxa"/>
            </w:tcMar>
            <w:shd w:fill="D9EAF7"/>
          </w:tcPr>
          <w:p>
            <w:pPr>
              <w:spacing w:after="0" w:line="240" w:lineRule="auto"/>
              <w:jc w:val="center"/>
            </w:pPr>
            <w:r/>
            <w:r>
              <w:rPr>
                <w:rFonts w:ascii="Times New Roman" w:hAnsi="Times New Roman"/>
                <w:b/>
                <w:sz w:val="18"/>
              </w:rPr>
              <w:t>Work package</w:t>
            </w:r>
          </w:p>
        </w:tc>
        <w:tc>
          <w:tcPr>
            <w:tcW w:type="dxa" w:w="1512"/>
            <w:vAlign w:val="center"/>
            <w:tcMar>
              <w:top w:w="90" w:type="dxa"/>
              <w:left w:w="90" w:type="dxa"/>
              <w:bottom w:w="90" w:type="dxa"/>
              <w:right w:w="90" w:type="dxa"/>
            </w:tcMar>
            <w:shd w:fill="D9EAF7"/>
          </w:tcPr>
          <w:p>
            <w:pPr>
              <w:spacing w:after="0" w:line="240" w:lineRule="auto"/>
              <w:jc w:val="center"/>
            </w:pPr>
            <w:r/>
            <w:r>
              <w:rPr>
                <w:rFonts w:ascii="Times New Roman" w:hAnsi="Times New Roman"/>
                <w:b/>
                <w:sz w:val="18"/>
              </w:rPr>
              <w:t>Review 2 state</w:t>
            </w:r>
          </w:p>
        </w:tc>
        <w:tc>
          <w:tcPr>
            <w:tcW w:type="dxa" w:w="2592"/>
            <w:vAlign w:val="center"/>
            <w:tcMar>
              <w:top w:w="90" w:type="dxa"/>
              <w:left w:w="90" w:type="dxa"/>
              <w:bottom w:w="90" w:type="dxa"/>
              <w:right w:w="90" w:type="dxa"/>
            </w:tcMar>
            <w:shd w:fill="D9EAF7"/>
          </w:tcPr>
          <w:p>
            <w:pPr>
              <w:spacing w:after="0" w:line="240" w:lineRule="auto"/>
              <w:jc w:val="center"/>
            </w:pPr>
            <w:r/>
            <w:r>
              <w:rPr>
                <w:rFonts w:ascii="Times New Roman" w:hAnsi="Times New Roman"/>
                <w:b/>
                <w:sz w:val="18"/>
              </w:rPr>
              <w:t>Current evidence</w:t>
            </w:r>
          </w:p>
        </w:tc>
        <w:tc>
          <w:tcPr>
            <w:tcW w:type="dxa" w:w="2808"/>
            <w:vAlign w:val="center"/>
            <w:tcMar>
              <w:top w:w="90" w:type="dxa"/>
              <w:left w:w="90" w:type="dxa"/>
              <w:bottom w:w="90" w:type="dxa"/>
              <w:right w:w="90" w:type="dxa"/>
            </w:tcMar>
            <w:shd w:fill="D9EAF7"/>
          </w:tcPr>
          <w:p>
            <w:pPr>
              <w:spacing w:after="0" w:line="240" w:lineRule="auto"/>
              <w:jc w:val="center"/>
            </w:pPr>
            <w:r/>
            <w:r>
              <w:rPr>
                <w:rFonts w:ascii="Times New Roman" w:hAnsi="Times New Roman"/>
                <w:b/>
                <w:sz w:val="18"/>
              </w:rPr>
              <w:t>Exit criterion</w:t>
            </w:r>
          </w:p>
        </w:tc>
      </w:tr>
      <w:tr>
        <w:tc>
          <w:tcPr>
            <w:tcW w:type="dxa" w:w="2088"/>
            <w:vAlign w:val="center"/>
            <w:tcMar>
              <w:top w:w="90" w:type="dxa"/>
              <w:left w:w="90" w:type="dxa"/>
              <w:bottom w:w="90" w:type="dxa"/>
              <w:right w:w="90" w:type="dxa"/>
            </w:tcMar>
          </w:tcPr>
          <w:p>
            <w:pPr>
              <w:spacing w:after="0" w:line="240" w:lineRule="auto"/>
              <w:jc w:val="left"/>
            </w:pPr>
            <w:r/>
            <w:r>
              <w:rPr>
                <w:rFonts w:ascii="Times New Roman" w:hAnsi="Times New Roman"/>
                <w:b w:val="0"/>
                <w:sz w:val="18"/>
              </w:rPr>
              <w:t>Literature + novelty audit</w:t>
            </w:r>
          </w:p>
        </w:tc>
        <w:tc>
          <w:tcPr>
            <w:tcW w:type="dxa" w:w="1512"/>
            <w:vAlign w:val="center"/>
            <w:tcMar>
              <w:top w:w="90" w:type="dxa"/>
              <w:left w:w="90" w:type="dxa"/>
              <w:bottom w:w="90" w:type="dxa"/>
              <w:right w:w="90" w:type="dxa"/>
            </w:tcMar>
          </w:tcPr>
          <w:p>
            <w:pPr>
              <w:spacing w:after="0" w:line="240" w:lineRule="auto"/>
              <w:jc w:val="left"/>
            </w:pPr>
            <w:r/>
            <w:r>
              <w:rPr>
                <w:rFonts w:ascii="Times New Roman" w:hAnsi="Times New Roman"/>
                <w:b w:val="0"/>
                <w:sz w:val="18"/>
              </w:rPr>
              <w:t>Complete</w:t>
            </w:r>
          </w:p>
        </w:tc>
        <w:tc>
          <w:tcPr>
            <w:tcW w:type="dxa" w:w="2592"/>
            <w:vAlign w:val="center"/>
            <w:tcMar>
              <w:top w:w="90" w:type="dxa"/>
              <w:left w:w="90" w:type="dxa"/>
              <w:bottom w:w="90" w:type="dxa"/>
              <w:right w:w="90" w:type="dxa"/>
            </w:tcMar>
          </w:tcPr>
          <w:p>
            <w:pPr>
              <w:spacing w:after="0" w:line="240" w:lineRule="auto"/>
              <w:jc w:val="left"/>
            </w:pPr>
            <w:r/>
            <w:r>
              <w:rPr>
                <w:rFonts w:ascii="Times New Roman" w:hAnsi="Times New Roman"/>
                <w:b w:val="0"/>
                <w:sz w:val="18"/>
              </w:rPr>
              <w:t>Updated against 2026 educational OCEL prior art</w:t>
            </w:r>
          </w:p>
        </w:tc>
        <w:tc>
          <w:tcPr>
            <w:tcW w:type="dxa" w:w="2808"/>
            <w:vAlign w:val="center"/>
            <w:tcMar>
              <w:top w:w="90" w:type="dxa"/>
              <w:left w:w="90" w:type="dxa"/>
              <w:bottom w:w="90" w:type="dxa"/>
              <w:right w:w="90" w:type="dxa"/>
            </w:tcMar>
          </w:tcPr>
          <w:p>
            <w:pPr>
              <w:spacing w:after="0" w:line="240" w:lineRule="auto"/>
              <w:jc w:val="left"/>
            </w:pPr>
            <w:r/>
            <w:r>
              <w:rPr>
                <w:rFonts w:ascii="Times New Roman" w:hAnsi="Times New Roman"/>
                <w:b w:val="0"/>
                <w:sz w:val="18"/>
              </w:rPr>
              <w:t>Systematic search and second-domain validation</w:t>
            </w:r>
          </w:p>
        </w:tc>
      </w:tr>
      <w:tr>
        <w:tc>
          <w:tcPr>
            <w:tcW w:type="dxa" w:w="2088"/>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8"/>
              </w:rPr>
              <w:t>Educational Capstone Portal schema and state-machine mapping</w:t>
            </w:r>
          </w:p>
        </w:tc>
        <w:tc>
          <w:tcPr>
            <w:tcW w:type="dxa" w:w="1512"/>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8"/>
              </w:rPr>
              <w:t>Complete</w:t>
            </w:r>
          </w:p>
        </w:tc>
        <w:tc>
          <w:tcPr>
            <w:tcW w:type="dxa" w:w="2592"/>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8"/>
              </w:rPr>
              <w:t>Traceable object/event catalogue</w:t>
            </w:r>
          </w:p>
        </w:tc>
        <w:tc>
          <w:tcPr>
            <w:tcW w:type="dxa" w:w="2808"/>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8"/>
              </w:rPr>
              <w:t>Guide review of mapping</w:t>
            </w:r>
          </w:p>
        </w:tc>
      </w:tr>
      <w:tr>
        <w:tc>
          <w:tcPr>
            <w:tcW w:type="dxa" w:w="2088"/>
            <w:vAlign w:val="center"/>
            <w:tcMar>
              <w:top w:w="90" w:type="dxa"/>
              <w:left w:w="90" w:type="dxa"/>
              <w:bottom w:w="90" w:type="dxa"/>
              <w:right w:w="90" w:type="dxa"/>
            </w:tcMar>
          </w:tcPr>
          <w:p>
            <w:pPr>
              <w:spacing w:after="0" w:line="240" w:lineRule="auto"/>
              <w:jc w:val="left"/>
            </w:pPr>
            <w:r/>
            <w:r>
              <w:rPr>
                <w:rFonts w:ascii="Times New Roman" w:hAnsi="Times New Roman"/>
                <w:b w:val="0"/>
                <w:sz w:val="18"/>
              </w:rPr>
              <w:t>Synthetic generator + OCEL export</w:t>
            </w:r>
          </w:p>
        </w:tc>
        <w:tc>
          <w:tcPr>
            <w:tcW w:type="dxa" w:w="1512"/>
            <w:vAlign w:val="center"/>
            <w:tcMar>
              <w:top w:w="90" w:type="dxa"/>
              <w:left w:w="90" w:type="dxa"/>
              <w:bottom w:w="90" w:type="dxa"/>
              <w:right w:w="90" w:type="dxa"/>
            </w:tcMar>
          </w:tcPr>
          <w:p>
            <w:pPr>
              <w:spacing w:after="0" w:line="240" w:lineRule="auto"/>
              <w:jc w:val="left"/>
            </w:pPr>
            <w:r/>
            <w:r>
              <w:rPr>
                <w:rFonts w:ascii="Times New Roman" w:hAnsi="Times New Roman"/>
                <w:b w:val="0"/>
                <w:sz w:val="18"/>
              </w:rPr>
              <w:t>Complete</w:t>
            </w:r>
          </w:p>
        </w:tc>
        <w:tc>
          <w:tcPr>
            <w:tcW w:type="dxa" w:w="2592"/>
            <w:vAlign w:val="center"/>
            <w:tcMar>
              <w:top w:w="90" w:type="dxa"/>
              <w:left w:w="90" w:type="dxa"/>
              <w:bottom w:w="90" w:type="dxa"/>
              <w:right w:w="90" w:type="dxa"/>
            </w:tcMar>
          </w:tcPr>
          <w:p>
            <w:pPr>
              <w:spacing w:after="0" w:line="240" w:lineRule="auto"/>
              <w:jc w:val="left"/>
            </w:pPr>
            <w:r/>
            <w:r>
              <w:rPr>
                <w:rFonts w:ascii="Times New Roman" w:hAnsi="Times New Roman"/>
                <w:b w:val="0"/>
                <w:sz w:val="18"/>
              </w:rPr>
              <w:t>Three scenarios, SQLite/CSV, seed 4971</w:t>
            </w:r>
          </w:p>
        </w:tc>
        <w:tc>
          <w:tcPr>
            <w:tcW w:type="dxa" w:w="2808"/>
            <w:vAlign w:val="center"/>
            <w:tcMar>
              <w:top w:w="90" w:type="dxa"/>
              <w:left w:w="90" w:type="dxa"/>
              <w:bottom w:w="90" w:type="dxa"/>
              <w:right w:w="90" w:type="dxa"/>
            </w:tcMar>
          </w:tcPr>
          <w:p>
            <w:pPr>
              <w:spacing w:after="0" w:line="240" w:lineRule="auto"/>
              <w:jc w:val="left"/>
            </w:pPr>
            <w:r/>
            <w:r>
              <w:rPr>
                <w:rFonts w:ascii="Times New Roman" w:hAnsi="Times New Roman"/>
                <w:b w:val="0"/>
                <w:sz w:val="18"/>
              </w:rPr>
              <w:t>Multiple seeds and scale sweep</w:t>
            </w:r>
          </w:p>
        </w:tc>
      </w:tr>
      <w:tr>
        <w:tc>
          <w:tcPr>
            <w:tcW w:type="dxa" w:w="2088"/>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8"/>
              </w:rPr>
              <w:t>Ablations + six detectors</w:t>
            </w:r>
          </w:p>
        </w:tc>
        <w:tc>
          <w:tcPr>
            <w:tcW w:type="dxa" w:w="1512"/>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8"/>
              </w:rPr>
              <w:t>Complete</w:t>
            </w:r>
          </w:p>
        </w:tc>
        <w:tc>
          <w:tcPr>
            <w:tcW w:type="dxa" w:w="2592"/>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8"/>
              </w:rPr>
              <w:t>Relation retention, COOC, macro-F1</w:t>
            </w:r>
          </w:p>
        </w:tc>
        <w:tc>
          <w:tcPr>
            <w:tcW w:type="dxa" w:w="2808"/>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8"/>
              </w:rPr>
              <w:t>PM4Py conformance baselines</w:t>
            </w:r>
          </w:p>
        </w:tc>
      </w:tr>
      <w:tr>
        <w:tc>
          <w:tcPr>
            <w:tcW w:type="dxa" w:w="2088"/>
            <w:vAlign w:val="center"/>
            <w:tcMar>
              <w:top w:w="90" w:type="dxa"/>
              <w:left w:w="90" w:type="dxa"/>
              <w:bottom w:w="90" w:type="dxa"/>
              <w:right w:w="90" w:type="dxa"/>
            </w:tcMar>
          </w:tcPr>
          <w:p>
            <w:pPr>
              <w:spacing w:after="0" w:line="240" w:lineRule="auto"/>
              <w:jc w:val="left"/>
            </w:pPr>
            <w:r/>
            <w:r>
              <w:rPr>
                <w:rFonts w:ascii="Times New Roman" w:hAnsi="Times New Roman"/>
                <w:b w:val="0"/>
                <w:sz w:val="18"/>
              </w:rPr>
              <w:t>Prediction + offline simulation</w:t>
            </w:r>
          </w:p>
        </w:tc>
        <w:tc>
          <w:tcPr>
            <w:tcW w:type="dxa" w:w="1512"/>
            <w:vAlign w:val="center"/>
            <w:tcMar>
              <w:top w:w="90" w:type="dxa"/>
              <w:left w:w="90" w:type="dxa"/>
              <w:bottom w:w="90" w:type="dxa"/>
              <w:right w:w="90" w:type="dxa"/>
            </w:tcMar>
          </w:tcPr>
          <w:p>
            <w:pPr>
              <w:spacing w:after="0" w:line="240" w:lineRule="auto"/>
              <w:jc w:val="left"/>
            </w:pPr>
            <w:r/>
            <w:r>
              <w:rPr>
                <w:rFonts w:ascii="Times New Roman" w:hAnsi="Times New Roman"/>
                <w:b w:val="0"/>
                <w:sz w:val="18"/>
              </w:rPr>
              <w:t>Baseline complete</w:t>
            </w:r>
          </w:p>
        </w:tc>
        <w:tc>
          <w:tcPr>
            <w:tcW w:type="dxa" w:w="2592"/>
            <w:vAlign w:val="center"/>
            <w:tcMar>
              <w:top w:w="90" w:type="dxa"/>
              <w:left w:w="90" w:type="dxa"/>
              <w:bottom w:w="90" w:type="dxa"/>
              <w:right w:w="90" w:type="dxa"/>
            </w:tcMar>
          </w:tcPr>
          <w:p>
            <w:pPr>
              <w:spacing w:after="0" w:line="240" w:lineRule="auto"/>
              <w:jc w:val="left"/>
            </w:pPr>
            <w:r/>
            <w:r>
              <w:rPr>
                <w:rFonts w:ascii="Times New Roman" w:hAnsi="Times New Roman"/>
                <w:b w:val="0"/>
                <w:sz w:val="18"/>
              </w:rPr>
              <w:t>Markov and two interventions</w:t>
            </w:r>
          </w:p>
        </w:tc>
        <w:tc>
          <w:tcPr>
            <w:tcW w:type="dxa" w:w="2808"/>
            <w:vAlign w:val="center"/>
            <w:tcMar>
              <w:top w:w="90" w:type="dxa"/>
              <w:left w:w="90" w:type="dxa"/>
              <w:bottom w:w="90" w:type="dxa"/>
              <w:right w:w="90" w:type="dxa"/>
            </w:tcMar>
          </w:tcPr>
          <w:p>
            <w:pPr>
              <w:spacing w:after="0" w:line="240" w:lineRule="auto"/>
              <w:jc w:val="left"/>
            </w:pPr>
            <w:r/>
            <w:r>
              <w:rPr>
                <w:rFonts w:ascii="Times New Roman" w:hAnsi="Times New Roman"/>
                <w:b w:val="0"/>
                <w:sz w:val="18"/>
              </w:rPr>
              <w:t>Object-aware predictor and calibration</w:t>
            </w:r>
          </w:p>
        </w:tc>
      </w:tr>
      <w:tr>
        <w:tc>
          <w:tcPr>
            <w:tcW w:type="dxa" w:w="2088"/>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8"/>
              </w:rPr>
              <w:t>Real-data study</w:t>
            </w:r>
          </w:p>
        </w:tc>
        <w:tc>
          <w:tcPr>
            <w:tcW w:type="dxa" w:w="1512"/>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8"/>
              </w:rPr>
              <w:t>Blocked on data/ethics</w:t>
            </w:r>
          </w:p>
        </w:tc>
        <w:tc>
          <w:tcPr>
            <w:tcW w:type="dxa" w:w="2592"/>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8"/>
              </w:rPr>
              <w:t>No production claim</w:t>
            </w:r>
          </w:p>
        </w:tc>
        <w:tc>
          <w:tcPr>
            <w:tcW w:type="dxa" w:w="2808"/>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8"/>
              </w:rPr>
              <w:t>De-identify, audit instrumentation, recalibrate</w:t>
            </w:r>
          </w:p>
        </w:tc>
      </w:tr>
      <w:tr>
        <w:tc>
          <w:tcPr>
            <w:tcW w:type="dxa" w:w="2088"/>
            <w:vAlign w:val="center"/>
            <w:tcMar>
              <w:top w:w="90" w:type="dxa"/>
              <w:left w:w="90" w:type="dxa"/>
              <w:bottom w:w="90" w:type="dxa"/>
              <w:right w:w="90" w:type="dxa"/>
            </w:tcMar>
          </w:tcPr>
          <w:p>
            <w:pPr>
              <w:spacing w:after="0" w:line="240" w:lineRule="auto"/>
              <w:jc w:val="left"/>
            </w:pPr>
            <w:r/>
            <w:r>
              <w:rPr>
                <w:rFonts w:ascii="Times New Roman" w:hAnsi="Times New Roman"/>
                <w:b w:val="0"/>
                <w:sz w:val="18"/>
              </w:rPr>
              <w:t>Journal manuscript</w:t>
            </w:r>
          </w:p>
        </w:tc>
        <w:tc>
          <w:tcPr>
            <w:tcW w:type="dxa" w:w="1512"/>
            <w:vAlign w:val="center"/>
            <w:tcMar>
              <w:top w:w="90" w:type="dxa"/>
              <w:left w:w="90" w:type="dxa"/>
              <w:bottom w:w="90" w:type="dxa"/>
              <w:right w:w="90" w:type="dxa"/>
            </w:tcMar>
          </w:tcPr>
          <w:p>
            <w:pPr>
              <w:spacing w:after="0" w:line="240" w:lineRule="auto"/>
              <w:jc w:val="left"/>
            </w:pPr>
            <w:r/>
            <w:r>
              <w:rPr>
                <w:rFonts w:ascii="Times New Roman" w:hAnsi="Times New Roman"/>
                <w:b w:val="0"/>
                <w:sz w:val="18"/>
              </w:rPr>
              <w:t>Framing drafted</w:t>
            </w:r>
          </w:p>
        </w:tc>
        <w:tc>
          <w:tcPr>
            <w:tcW w:type="dxa" w:w="2592"/>
            <w:vAlign w:val="center"/>
            <w:tcMar>
              <w:top w:w="90" w:type="dxa"/>
              <w:left w:w="90" w:type="dxa"/>
              <w:bottom w:w="90" w:type="dxa"/>
              <w:right w:w="90" w:type="dxa"/>
            </w:tcMar>
          </w:tcPr>
          <w:p>
            <w:pPr>
              <w:spacing w:after="0" w:line="240" w:lineRule="auto"/>
              <w:jc w:val="left"/>
            </w:pPr>
            <w:r/>
            <w:r>
              <w:rPr>
                <w:rFonts w:ascii="Times New Roman" w:hAnsi="Times New Roman"/>
                <w:b w:val="0"/>
                <w:sz w:val="18"/>
              </w:rPr>
              <w:t>Claims bounded to synthetic feasibility</w:t>
            </w:r>
          </w:p>
        </w:tc>
        <w:tc>
          <w:tcPr>
            <w:tcW w:type="dxa" w:w="2808"/>
            <w:vAlign w:val="center"/>
            <w:tcMar>
              <w:top w:w="90" w:type="dxa"/>
              <w:left w:w="90" w:type="dxa"/>
              <w:bottom w:w="90" w:type="dxa"/>
              <w:right w:w="90" w:type="dxa"/>
            </w:tcMar>
          </w:tcPr>
          <w:p>
            <w:pPr>
              <w:spacing w:after="0" w:line="240" w:lineRule="auto"/>
              <w:jc w:val="left"/>
            </w:pPr>
            <w:r/>
            <w:r>
              <w:rPr>
                <w:rFonts w:ascii="Times New Roman" w:hAnsi="Times New Roman"/>
                <w:b w:val="0"/>
                <w:sz w:val="18"/>
              </w:rPr>
              <w:t>Preregister, expert-validate, multi-cohort study</w:t>
            </w:r>
          </w:p>
        </w:tc>
      </w:tr>
    </w:tbl>
    <w:p>
      <w:pPr>
        <w:spacing w:after="0"/>
      </w:pPr>
    </w:p>
    <w:p>
      <w:r>
        <w:br w:type="page"/>
      </w:r>
    </w:p>
    <w:p>
      <w:pPr>
        <w:pStyle w:val="Heading1"/>
        <w:jc w:val="center"/>
      </w:pPr>
      <w:r>
        <w:rPr>
          <w:rFonts w:ascii="Times New Roman" w:hAnsi="Times New Roman"/>
          <w:b/>
          <w:i w:val="0"/>
          <w:sz w:val="28"/>
        </w:rPr>
        <w:t>3. TECHNICAL SPECIFICATION</w:t>
      </w:r>
    </w:p>
    <w:p>
      <w:pPr>
        <w:pStyle w:val="Heading2"/>
        <w:jc w:val="left"/>
      </w:pPr>
      <w:r>
        <w:rPr>
          <w:rFonts w:ascii="Times New Roman" w:hAnsi="Times New Roman"/>
          <w:b/>
          <w:i w:val="0"/>
          <w:sz w:val="26"/>
        </w:rPr>
        <w:t>3.1 Requirements</w:t>
      </w:r>
    </w:p>
    <w:p>
      <w:pPr>
        <w:pStyle w:val="Heading3"/>
        <w:jc w:val="left"/>
      </w:pPr>
      <w:r>
        <w:rPr>
          <w:rFonts w:ascii="Times New Roman" w:hAnsi="Times New Roman"/>
          <w:b/>
          <w:i/>
          <w:sz w:val="24"/>
        </w:rPr>
        <w:t>3.1.1 Functional</w:t>
      </w:r>
    </w:p>
    <w:p>
      <w:pPr>
        <w:spacing w:line="276" w:lineRule="auto" w:after="80"/>
        <w:ind w:left="360" w:hanging="259"/>
        <w:jc w:val="both"/>
      </w:pPr>
      <w:r>
        <w:rPr>
          <w:rFonts w:ascii="Times New Roman" w:hAnsi="Times New Roman"/>
          <w:sz w:val="24"/>
        </w:rPr>
        <w:t xml:space="preserve">• </w:t>
      </w:r>
      <w:r>
        <w:rPr>
          <w:rFonts w:ascii="Times New Roman" w:hAnsi="Times New Roman"/>
          <w:b/>
          <w:sz w:val="24"/>
        </w:rPr>
        <w:t xml:space="preserve">FR1 — Generate scenarios: </w:t>
      </w:r>
      <w:r>
        <w:rPr>
          <w:rFonts w:ascii="Times New Roman" w:hAnsi="Times New Roman"/>
          <w:sz w:val="24"/>
        </w:rPr>
        <w:t>produce clean-target, implemented-baseline and gap-injected lifecycles from a recorded seed and configuration.</w:t>
      </w:r>
    </w:p>
    <w:p>
      <w:pPr>
        <w:spacing w:line="276" w:lineRule="auto" w:after="80"/>
        <w:ind w:left="360" w:hanging="259"/>
        <w:jc w:val="both"/>
      </w:pPr>
      <w:r>
        <w:rPr>
          <w:rFonts w:ascii="Times New Roman" w:hAnsi="Times New Roman"/>
          <w:sz w:val="24"/>
        </w:rPr>
        <w:t xml:space="preserve">• </w:t>
      </w:r>
      <w:r>
        <w:rPr>
          <w:rFonts w:ascii="Times New Roman" w:hAnsi="Times New Roman"/>
          <w:b/>
          <w:sz w:val="24"/>
        </w:rPr>
        <w:t xml:space="preserve">FR2 — Preserve relations: </w:t>
      </w:r>
      <w:r>
        <w:rPr>
          <w:rFonts w:ascii="Times New Roman" w:hAnsi="Times New Roman"/>
          <w:sz w:val="24"/>
        </w:rPr>
        <w:t>store qualified E2O and O2O relations using pseudonymous identifiers.</w:t>
      </w:r>
    </w:p>
    <w:p>
      <w:pPr>
        <w:spacing w:line="276" w:lineRule="auto" w:after="80"/>
        <w:ind w:left="360" w:hanging="259"/>
        <w:jc w:val="both"/>
      </w:pPr>
      <w:r>
        <w:rPr>
          <w:rFonts w:ascii="Times New Roman" w:hAnsi="Times New Roman"/>
          <w:sz w:val="24"/>
        </w:rPr>
        <w:t xml:space="preserve">• </w:t>
      </w:r>
      <w:r>
        <w:rPr>
          <w:rFonts w:ascii="Times New Roman" w:hAnsi="Times New Roman"/>
          <w:b/>
          <w:sz w:val="24"/>
        </w:rPr>
        <w:t xml:space="preserve">FR3 — Export evidence: </w:t>
      </w:r>
      <w:r>
        <w:rPr>
          <w:rFonts w:ascii="Times New Roman" w:hAnsi="Times New Roman"/>
          <w:sz w:val="24"/>
        </w:rPr>
        <w:t>write relational OCEL 2.0 SQLite plus human-auditable CSV tables and checksums.</w:t>
      </w:r>
    </w:p>
    <w:p>
      <w:pPr>
        <w:spacing w:line="276" w:lineRule="auto" w:after="80"/>
        <w:ind w:left="360" w:hanging="259"/>
        <w:jc w:val="both"/>
      </w:pPr>
      <w:r>
        <w:rPr>
          <w:rFonts w:ascii="Times New Roman" w:hAnsi="Times New Roman"/>
          <w:sz w:val="24"/>
        </w:rPr>
        <w:t xml:space="preserve">• </w:t>
      </w:r>
      <w:r>
        <w:rPr>
          <w:rFonts w:ascii="Times New Roman" w:hAnsi="Times New Roman"/>
          <w:b/>
          <w:sz w:val="24"/>
        </w:rPr>
        <w:t xml:space="preserve">FR4 — Validate integrity: </w:t>
      </w:r>
      <w:r>
        <w:rPr>
          <w:rFonts w:ascii="Times New Roman" w:hAnsi="Times New Roman"/>
          <w:sz w:val="24"/>
        </w:rPr>
        <w:t>check required tables, references, event ordering and deterministic hashes.</w:t>
      </w:r>
    </w:p>
    <w:p>
      <w:pPr>
        <w:spacing w:line="276" w:lineRule="auto" w:after="80"/>
        <w:ind w:left="360" w:hanging="259"/>
        <w:jc w:val="both"/>
      </w:pPr>
      <w:r>
        <w:rPr>
          <w:rFonts w:ascii="Times New Roman" w:hAnsi="Times New Roman"/>
          <w:sz w:val="24"/>
        </w:rPr>
        <w:t xml:space="preserve">• </w:t>
      </w:r>
      <w:r>
        <w:rPr>
          <w:rFonts w:ascii="Times New Roman" w:hAnsi="Times New Roman"/>
          <w:b/>
          <w:sz w:val="24"/>
        </w:rPr>
        <w:t xml:space="preserve">FR5 — Compare representations: </w:t>
      </w:r>
      <w:r>
        <w:rPr>
          <w:rFonts w:ascii="Times New Roman" w:hAnsi="Times New Roman"/>
          <w:sz w:val="24"/>
        </w:rPr>
        <w:t>derive project, student and report-version flat views and measure retained relations and predicates.</w:t>
      </w:r>
    </w:p>
    <w:p>
      <w:pPr>
        <w:spacing w:line="276" w:lineRule="auto" w:after="80"/>
        <w:ind w:left="360" w:hanging="259"/>
        <w:jc w:val="both"/>
      </w:pPr>
      <w:r>
        <w:rPr>
          <w:rFonts w:ascii="Times New Roman" w:hAnsi="Times New Roman"/>
          <w:sz w:val="24"/>
        </w:rPr>
        <w:t xml:space="preserve">• </w:t>
      </w:r>
      <w:r>
        <w:rPr>
          <w:rFonts w:ascii="Times New Roman" w:hAnsi="Times New Roman"/>
          <w:b/>
          <w:sz w:val="24"/>
        </w:rPr>
        <w:t xml:space="preserve">FR6 — Detect risks: </w:t>
      </w:r>
      <w:r>
        <w:rPr>
          <w:rFonts w:ascii="Times New Roman" w:hAnsi="Times New Roman"/>
          <w:sz w:val="24"/>
        </w:rPr>
        <w:t>evaluate G5, G9, E5, E10, E12 and E15 conditions against oracle labels.</w:t>
      </w:r>
    </w:p>
    <w:p>
      <w:pPr>
        <w:spacing w:line="276" w:lineRule="auto" w:after="80"/>
        <w:ind w:left="360" w:hanging="259"/>
        <w:jc w:val="both"/>
      </w:pPr>
      <w:r>
        <w:rPr>
          <w:rFonts w:ascii="Times New Roman" w:hAnsi="Times New Roman"/>
          <w:sz w:val="24"/>
        </w:rPr>
        <w:t xml:space="preserve">• </w:t>
      </w:r>
      <w:r>
        <w:rPr>
          <w:rFonts w:ascii="Times New Roman" w:hAnsi="Times New Roman"/>
          <w:b/>
          <w:sz w:val="24"/>
        </w:rPr>
        <w:t xml:space="preserve">FR7 — Evaluate models: </w:t>
      </w:r>
      <w:r>
        <w:rPr>
          <w:rFonts w:ascii="Times New Roman" w:hAnsi="Times New Roman"/>
          <w:sz w:val="24"/>
        </w:rPr>
        <w:t>use project-grouped splits for a next-transition baseline and report macro-F1, top-k accuracy and log loss.</w:t>
      </w:r>
    </w:p>
    <w:p>
      <w:pPr>
        <w:spacing w:line="276" w:lineRule="auto" w:after="80"/>
        <w:ind w:left="360" w:hanging="259"/>
        <w:jc w:val="both"/>
      </w:pPr>
      <w:r>
        <w:rPr>
          <w:rFonts w:ascii="Times New Roman" w:hAnsi="Times New Roman"/>
          <w:sz w:val="24"/>
        </w:rPr>
        <w:t xml:space="preserve">• </w:t>
      </w:r>
      <w:r>
        <w:rPr>
          <w:rFonts w:ascii="Times New Roman" w:hAnsi="Times New Roman"/>
          <w:b/>
          <w:sz w:val="24"/>
        </w:rPr>
        <w:t xml:space="preserve">FR8 — Simulate policies: </w:t>
      </w:r>
      <w:r>
        <w:rPr>
          <w:rFonts w:ascii="Times New Roman" w:hAnsi="Times New Roman"/>
          <w:sz w:val="24"/>
        </w:rPr>
        <w:t>compare baseline, attempt-escape, capacity-reallocation and combined scenarios without acting on users.</w:t>
      </w:r>
    </w:p>
    <w:p>
      <w:pPr>
        <w:pStyle w:val="Heading3"/>
        <w:jc w:val="left"/>
      </w:pPr>
      <w:r>
        <w:rPr>
          <w:rFonts w:ascii="Times New Roman" w:hAnsi="Times New Roman"/>
          <w:b/>
          <w:i/>
          <w:sz w:val="24"/>
        </w:rPr>
        <w:t>3.1.2 Non-Functional</w:t>
      </w:r>
    </w:p>
    <w:p>
      <w:pPr>
        <w:spacing w:line="276" w:lineRule="auto" w:after="80"/>
        <w:ind w:left="360" w:hanging="259"/>
        <w:jc w:val="both"/>
      </w:pPr>
      <w:r>
        <w:rPr>
          <w:rFonts w:ascii="Times New Roman" w:hAnsi="Times New Roman"/>
          <w:sz w:val="24"/>
        </w:rPr>
        <w:t xml:space="preserve">• </w:t>
      </w:r>
      <w:r>
        <w:rPr>
          <w:rFonts w:ascii="Times New Roman" w:hAnsi="Times New Roman"/>
          <w:b/>
          <w:sz w:val="24"/>
        </w:rPr>
        <w:t xml:space="preserve">Reproducibility: </w:t>
      </w:r>
      <w:r>
        <w:rPr>
          <w:rFonts w:ascii="Times New Roman" w:hAnsi="Times New Roman"/>
          <w:sz w:val="24"/>
        </w:rPr>
        <w:t>fixed seeds, versioned configuration, manifest and SHA-256 hashes.</w:t>
      </w:r>
    </w:p>
    <w:p>
      <w:pPr>
        <w:spacing w:line="276" w:lineRule="auto" w:after="80"/>
        <w:ind w:left="360" w:hanging="259"/>
        <w:jc w:val="both"/>
      </w:pPr>
      <w:r>
        <w:rPr>
          <w:rFonts w:ascii="Times New Roman" w:hAnsi="Times New Roman"/>
          <w:sz w:val="24"/>
        </w:rPr>
        <w:t xml:space="preserve">• </w:t>
      </w:r>
      <w:r>
        <w:rPr>
          <w:rFonts w:ascii="Times New Roman" w:hAnsi="Times New Roman"/>
          <w:b/>
          <w:sz w:val="24"/>
        </w:rPr>
        <w:t xml:space="preserve">Traceability: </w:t>
      </w:r>
      <w:r>
        <w:rPr>
          <w:rFonts w:ascii="Times New Roman" w:hAnsi="Times New Roman"/>
          <w:sz w:val="24"/>
        </w:rPr>
        <w:t>every synthetic anomaly links to a documented gap and oracle predicate.</w:t>
      </w:r>
    </w:p>
    <w:p>
      <w:pPr>
        <w:spacing w:line="276" w:lineRule="auto" w:after="80"/>
        <w:ind w:left="360" w:hanging="259"/>
        <w:jc w:val="both"/>
      </w:pPr>
      <w:r>
        <w:rPr>
          <w:rFonts w:ascii="Times New Roman" w:hAnsi="Times New Roman"/>
          <w:sz w:val="24"/>
        </w:rPr>
        <w:t xml:space="preserve">• </w:t>
      </w:r>
      <w:r>
        <w:rPr>
          <w:rFonts w:ascii="Times New Roman" w:hAnsi="Times New Roman"/>
          <w:b/>
          <w:sz w:val="24"/>
        </w:rPr>
        <w:t xml:space="preserve">Privacy: </w:t>
      </w:r>
      <w:r>
        <w:rPr>
          <w:rFonts w:ascii="Times New Roman" w:hAnsi="Times New Roman"/>
          <w:sz w:val="24"/>
        </w:rPr>
        <w:t>no real student, faculty, report or score data in Review 2 artifacts.</w:t>
      </w:r>
    </w:p>
    <w:p>
      <w:pPr>
        <w:spacing w:line="276" w:lineRule="auto" w:after="80"/>
        <w:ind w:left="360" w:hanging="259"/>
        <w:jc w:val="both"/>
      </w:pPr>
      <w:r>
        <w:rPr>
          <w:rFonts w:ascii="Times New Roman" w:hAnsi="Times New Roman"/>
          <w:sz w:val="24"/>
        </w:rPr>
        <w:t xml:space="preserve">• </w:t>
      </w:r>
      <w:r>
        <w:rPr>
          <w:rFonts w:ascii="Times New Roman" w:hAnsi="Times New Roman"/>
          <w:b/>
          <w:sz w:val="24"/>
        </w:rPr>
        <w:t xml:space="preserve">Portability: </w:t>
      </w:r>
      <w:r>
        <w:rPr>
          <w:rFonts w:ascii="Times New Roman" w:hAnsi="Times New Roman"/>
          <w:sz w:val="24"/>
        </w:rPr>
        <w:t>Python standard library pipeline with SQLite and CSV outputs.</w:t>
      </w:r>
    </w:p>
    <w:p>
      <w:pPr>
        <w:spacing w:line="276" w:lineRule="auto" w:after="80"/>
        <w:ind w:left="360" w:hanging="259"/>
        <w:jc w:val="both"/>
      </w:pPr>
      <w:r>
        <w:rPr>
          <w:rFonts w:ascii="Times New Roman" w:hAnsi="Times New Roman"/>
          <w:sz w:val="24"/>
        </w:rPr>
        <w:t xml:space="preserve">• </w:t>
      </w:r>
      <w:r>
        <w:rPr>
          <w:rFonts w:ascii="Times New Roman" w:hAnsi="Times New Roman"/>
          <w:b/>
          <w:sz w:val="24"/>
        </w:rPr>
        <w:t xml:space="preserve">Auditability: </w:t>
      </w:r>
      <w:r>
        <w:rPr>
          <w:rFonts w:ascii="Times New Roman" w:hAnsi="Times New Roman"/>
          <w:sz w:val="24"/>
        </w:rPr>
        <w:t>results tables can be recomputed from package scripts and generated data.</w:t>
      </w:r>
    </w:p>
    <w:p>
      <w:pPr>
        <w:spacing w:line="276" w:lineRule="auto" w:after="80"/>
        <w:ind w:left="360" w:hanging="259"/>
        <w:jc w:val="both"/>
      </w:pPr>
      <w:r>
        <w:rPr>
          <w:rFonts w:ascii="Times New Roman" w:hAnsi="Times New Roman"/>
          <w:sz w:val="24"/>
        </w:rPr>
        <w:t xml:space="preserve">• </w:t>
      </w:r>
      <w:r>
        <w:rPr>
          <w:rFonts w:ascii="Times New Roman" w:hAnsi="Times New Roman"/>
          <w:b/>
          <w:sz w:val="24"/>
        </w:rPr>
        <w:t xml:space="preserve">Honesty of claims: </w:t>
      </w:r>
      <w:r>
        <w:rPr>
          <w:rFonts w:ascii="Times New Roman" w:hAnsi="Times New Roman"/>
          <w:sz w:val="24"/>
        </w:rPr>
        <w:t>synthetic feasibility and production validity are reported separately.</w:t>
      </w:r>
    </w:p>
    <w:p>
      <w:pPr>
        <w:pStyle w:val="Heading2"/>
        <w:jc w:val="left"/>
      </w:pPr>
      <w:r>
        <w:rPr>
          <w:rFonts w:ascii="Times New Roman" w:hAnsi="Times New Roman"/>
          <w:b/>
          <w:i w:val="0"/>
          <w:sz w:val="26"/>
        </w:rPr>
        <w:t>3.2 Feasibility Study</w:t>
      </w:r>
    </w:p>
    <w:p>
      <w:pPr>
        <w:pStyle w:val="Heading3"/>
        <w:jc w:val="left"/>
      </w:pPr>
      <w:r>
        <w:rPr>
          <w:rFonts w:ascii="Times New Roman" w:hAnsi="Times New Roman"/>
          <w:b/>
          <w:i/>
          <w:sz w:val="24"/>
        </w:rPr>
        <w:t>3.2.1 Technical Feasibility</w:t>
      </w:r>
    </w:p>
    <w:p>
      <w:pPr>
        <w:spacing w:line="276" w:lineRule="auto" w:after="120"/>
        <w:ind w:firstLine="432"/>
        <w:jc w:val="both"/>
      </w:pPr>
      <w:r>
        <w:rPr>
          <w:rFonts w:ascii="Times New Roman" w:hAnsi="Times New Roman"/>
          <w:sz w:val="24"/>
        </w:rPr>
        <w:t>The Review 2 prototype runs locally and produces validated relational SQLite and CSV evidence without external infrastructure. OCEL 2.0 and SQLite provide stable representation targets. Remaining technical risk lies in production event extraction, PM4Py interoperability, state-aware conformance and object-aware prediction rather than in synthetic generation.</w:t>
      </w:r>
    </w:p>
    <w:p>
      <w:pPr>
        <w:pStyle w:val="Heading3"/>
        <w:jc w:val="left"/>
      </w:pPr>
      <w:r>
        <w:rPr>
          <w:rFonts w:ascii="Times New Roman" w:hAnsi="Times New Roman"/>
          <w:b/>
          <w:i/>
          <w:sz w:val="24"/>
        </w:rPr>
        <w:t>3.2.2 Economic Feasibility</w:t>
      </w:r>
    </w:p>
    <w:p>
      <w:pPr>
        <w:spacing w:line="276" w:lineRule="auto" w:after="120"/>
        <w:ind w:firstLine="432"/>
        <w:jc w:val="both"/>
      </w:pPr>
      <w:r>
        <w:rPr>
          <w:rFonts w:ascii="Times New Roman" w:hAnsi="Times New Roman"/>
          <w:sz w:val="24"/>
        </w:rPr>
        <w:t>The prototype uses open formats and commodity hardware. The main future costs are data governance, secure storage, faculty validation time and manuscript-scale experimentation. Offline simulation is deliberately used before any costly or risky live intervention.</w:t>
      </w:r>
    </w:p>
    <w:p>
      <w:pPr>
        <w:pStyle w:val="Heading3"/>
        <w:jc w:val="left"/>
      </w:pPr>
      <w:r>
        <w:rPr>
          <w:rFonts w:ascii="Times New Roman" w:hAnsi="Times New Roman"/>
          <w:b/>
          <w:i/>
          <w:sz w:val="24"/>
        </w:rPr>
        <w:t>3.2.3 Social and Ethical Feasibility</w:t>
      </w:r>
    </w:p>
    <w:p>
      <w:pPr>
        <w:spacing w:line="276" w:lineRule="auto" w:after="120"/>
        <w:ind w:firstLine="432"/>
        <w:jc w:val="both"/>
      </w:pPr>
      <w:r>
        <w:rPr>
          <w:rFonts w:ascii="Times New Roman" w:hAnsi="Times New Roman"/>
          <w:sz w:val="24"/>
        </w:rPr>
        <w:t>Capstone logs may reveal academic performance, supervision and behavioural patterns. Any real-data study requires institutional approval, purpose limitation, pseudonymisation, role-based access and reporting that avoids ranking or penalising individuals. Predictive or anomaly outputs must support human review; they must not become automated academic decisions.</w:t>
      </w:r>
    </w:p>
    <w:p>
      <w:pPr>
        <w:pStyle w:val="Heading2"/>
        <w:jc w:val="left"/>
      </w:pPr>
      <w:r>
        <w:rPr>
          <w:rFonts w:ascii="Times New Roman" w:hAnsi="Times New Roman"/>
          <w:b/>
          <w:i w:val="0"/>
          <w:sz w:val="26"/>
        </w:rPr>
        <w:t>3.3 System Specification</w:t>
      </w:r>
    </w:p>
    <w:p>
      <w:pPr>
        <w:pStyle w:val="Heading3"/>
        <w:jc w:val="left"/>
      </w:pPr>
      <w:r>
        <w:rPr>
          <w:rFonts w:ascii="Times New Roman" w:hAnsi="Times New Roman"/>
          <w:b/>
          <w:i/>
          <w:sz w:val="24"/>
        </w:rPr>
        <w:t>3.3.1 Hardware</w:t>
      </w:r>
    </w:p>
    <w:p>
      <w:pPr>
        <w:spacing w:line="276" w:lineRule="auto" w:after="80"/>
        <w:ind w:left="360" w:hanging="259"/>
        <w:jc w:val="both"/>
      </w:pPr>
      <w:r>
        <w:rPr>
          <w:rFonts w:ascii="Times New Roman" w:hAnsi="Times New Roman"/>
          <w:sz w:val="24"/>
        </w:rPr>
        <w:t xml:space="preserve">• </w:t>
      </w:r>
      <w:r>
        <w:rPr>
          <w:rFonts w:ascii="Times New Roman" w:hAnsi="Times New Roman"/>
          <w:b/>
          <w:sz w:val="24"/>
        </w:rPr>
        <w:t xml:space="preserve">Minimum: </w:t>
      </w:r>
      <w:r>
        <w:rPr>
          <w:rFonts w:ascii="Times New Roman" w:hAnsi="Times New Roman"/>
          <w:sz w:val="24"/>
        </w:rPr>
        <w:t>multi-core laptop/desktop, 8 GB RAM and 2 GB free storage for the current 120-project benchmark.</w:t>
      </w:r>
    </w:p>
    <w:p>
      <w:pPr>
        <w:spacing w:line="276" w:lineRule="auto" w:after="80"/>
        <w:ind w:left="360" w:hanging="259"/>
        <w:jc w:val="both"/>
      </w:pPr>
      <w:r>
        <w:rPr>
          <w:rFonts w:ascii="Times New Roman" w:hAnsi="Times New Roman"/>
          <w:sz w:val="24"/>
        </w:rPr>
        <w:t xml:space="preserve">• </w:t>
      </w:r>
      <w:r>
        <w:rPr>
          <w:rFonts w:ascii="Times New Roman" w:hAnsi="Times New Roman"/>
          <w:b/>
          <w:sz w:val="24"/>
        </w:rPr>
        <w:t xml:space="preserve">Recommended journal experiments: </w:t>
      </w:r>
      <w:r>
        <w:rPr>
          <w:rFonts w:ascii="Times New Roman" w:hAnsi="Times New Roman"/>
          <w:sz w:val="24"/>
        </w:rPr>
        <w:t>16 GB RAM and encrypted project storage for multi-seed, multi-scale and de-identified log runs.</w:t>
      </w:r>
    </w:p>
    <w:p>
      <w:pPr>
        <w:pStyle w:val="Heading3"/>
        <w:jc w:val="left"/>
      </w:pPr>
      <w:r>
        <w:rPr>
          <w:rFonts w:ascii="Times New Roman" w:hAnsi="Times New Roman"/>
          <w:b/>
          <w:i/>
          <w:sz w:val="24"/>
        </w:rPr>
        <w:t>3.3.2 Software</w:t>
      </w:r>
    </w:p>
    <w:tbl>
      <w:tblPr>
        <w:tblStyle w:val="TableGrid"/>
        <w:tblW w:type="auto" w:w="0"/>
        <w:jc w:val="center"/>
        <w:tblLayout w:type="fixed"/>
        <w:tblLook w:firstColumn="1" w:firstRow="1" w:lastColumn="0" w:lastRow="0" w:noHBand="0" w:noVBand="1" w:val="04A0"/>
      </w:tblPr>
      <w:tblGrid>
        <w:gridCol w:w="4514"/>
        <w:gridCol w:w="4514"/>
      </w:tblGrid>
      <w:tr>
        <w:trPr>
          <w:tblHeader w:val="true"/>
        </w:trPr>
        <w:tc>
          <w:tcPr>
            <w:tcW w:type="dxa" w:w="2592"/>
            <w:vAlign w:val="center"/>
            <w:tcMar>
              <w:top w:w="90" w:type="dxa"/>
              <w:left w:w="90" w:type="dxa"/>
              <w:bottom w:w="90" w:type="dxa"/>
              <w:right w:w="90" w:type="dxa"/>
            </w:tcMar>
            <w:shd w:fill="D9EAF7"/>
          </w:tcPr>
          <w:p>
            <w:pPr>
              <w:spacing w:after="0" w:line="240" w:lineRule="auto"/>
              <w:jc w:val="center"/>
            </w:pPr>
            <w:r/>
            <w:r>
              <w:rPr>
                <w:rFonts w:ascii="Times New Roman" w:hAnsi="Times New Roman"/>
                <w:b/>
                <w:sz w:val="20"/>
              </w:rPr>
              <w:t>Component</w:t>
            </w:r>
          </w:p>
        </w:tc>
        <w:tc>
          <w:tcPr>
            <w:tcW w:type="dxa" w:w="6408"/>
            <w:vAlign w:val="center"/>
            <w:tcMar>
              <w:top w:w="90" w:type="dxa"/>
              <w:left w:w="90" w:type="dxa"/>
              <w:bottom w:w="90" w:type="dxa"/>
              <w:right w:w="90" w:type="dxa"/>
            </w:tcMar>
            <w:shd w:fill="D9EAF7"/>
          </w:tcPr>
          <w:p>
            <w:pPr>
              <w:spacing w:after="0" w:line="240" w:lineRule="auto"/>
              <w:jc w:val="center"/>
            </w:pPr>
            <w:r/>
            <w:r>
              <w:rPr>
                <w:rFonts w:ascii="Times New Roman" w:hAnsi="Times New Roman"/>
                <w:b/>
                <w:sz w:val="20"/>
              </w:rPr>
              <w:t>Specification</w:t>
            </w:r>
          </w:p>
        </w:tc>
      </w:tr>
      <w:tr>
        <w:tc>
          <w:tcPr>
            <w:tcW w:type="dxa" w:w="2592"/>
            <w:vAlign w:val="center"/>
            <w:tcMar>
              <w:top w:w="90" w:type="dxa"/>
              <w:left w:w="90" w:type="dxa"/>
              <w:bottom w:w="90" w:type="dxa"/>
              <w:right w:w="90" w:type="dxa"/>
            </w:tcMar>
          </w:tcPr>
          <w:p>
            <w:pPr>
              <w:spacing w:after="0" w:line="240" w:lineRule="auto"/>
              <w:jc w:val="left"/>
            </w:pPr>
            <w:r/>
            <w:r>
              <w:rPr>
                <w:rFonts w:ascii="Times New Roman" w:hAnsi="Times New Roman"/>
                <w:b w:val="0"/>
                <w:sz w:val="20"/>
              </w:rPr>
              <w:t>Operating systems</w:t>
            </w:r>
          </w:p>
        </w:tc>
        <w:tc>
          <w:tcPr>
            <w:tcW w:type="dxa" w:w="6408"/>
            <w:vAlign w:val="center"/>
            <w:tcMar>
              <w:top w:w="90" w:type="dxa"/>
              <w:left w:w="90" w:type="dxa"/>
              <w:bottom w:w="90" w:type="dxa"/>
              <w:right w:w="90" w:type="dxa"/>
            </w:tcMar>
          </w:tcPr>
          <w:p>
            <w:pPr>
              <w:spacing w:after="0" w:line="240" w:lineRule="auto"/>
              <w:jc w:val="left"/>
            </w:pPr>
            <w:r/>
            <w:r>
              <w:rPr>
                <w:rFonts w:ascii="Times New Roman" w:hAnsi="Times New Roman"/>
                <w:b w:val="0"/>
                <w:sz w:val="20"/>
              </w:rPr>
              <w:t>macOS/Linux/Windows with Python support</w:t>
            </w:r>
          </w:p>
        </w:tc>
      </w:tr>
      <w:tr>
        <w:tc>
          <w:tcPr>
            <w:tcW w:type="dxa" w:w="2592"/>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20"/>
              </w:rPr>
              <w:t>Language</w:t>
            </w:r>
          </w:p>
        </w:tc>
        <w:tc>
          <w:tcPr>
            <w:tcW w:type="dxa" w:w="6408"/>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20"/>
              </w:rPr>
              <w:t>Python 3</w:t>
            </w:r>
          </w:p>
        </w:tc>
      </w:tr>
      <w:tr>
        <w:tc>
          <w:tcPr>
            <w:tcW w:type="dxa" w:w="2592"/>
            <w:vAlign w:val="center"/>
            <w:tcMar>
              <w:top w:w="90" w:type="dxa"/>
              <w:left w:w="90" w:type="dxa"/>
              <w:bottom w:w="90" w:type="dxa"/>
              <w:right w:w="90" w:type="dxa"/>
            </w:tcMar>
          </w:tcPr>
          <w:p>
            <w:pPr>
              <w:spacing w:after="0" w:line="240" w:lineRule="auto"/>
              <w:jc w:val="left"/>
            </w:pPr>
            <w:r/>
            <w:r>
              <w:rPr>
                <w:rFonts w:ascii="Times New Roman" w:hAnsi="Times New Roman"/>
                <w:b w:val="0"/>
                <w:sz w:val="20"/>
              </w:rPr>
              <w:t>Storage</w:t>
            </w:r>
          </w:p>
        </w:tc>
        <w:tc>
          <w:tcPr>
            <w:tcW w:type="dxa" w:w="6408"/>
            <w:vAlign w:val="center"/>
            <w:tcMar>
              <w:top w:w="90" w:type="dxa"/>
              <w:left w:w="90" w:type="dxa"/>
              <w:bottom w:w="90" w:type="dxa"/>
              <w:right w:w="90" w:type="dxa"/>
            </w:tcMar>
          </w:tcPr>
          <w:p>
            <w:pPr>
              <w:spacing w:after="0" w:line="240" w:lineRule="auto"/>
              <w:jc w:val="left"/>
            </w:pPr>
            <w:r/>
            <w:r>
              <w:rPr>
                <w:rFonts w:ascii="Times New Roman" w:hAnsi="Times New Roman"/>
                <w:b w:val="0"/>
                <w:sz w:val="20"/>
              </w:rPr>
              <w:t>SQLite and CSV</w:t>
            </w:r>
          </w:p>
        </w:tc>
      </w:tr>
      <w:tr>
        <w:tc>
          <w:tcPr>
            <w:tcW w:type="dxa" w:w="2592"/>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20"/>
              </w:rPr>
              <w:t>Process-mining target</w:t>
            </w:r>
          </w:p>
        </w:tc>
        <w:tc>
          <w:tcPr>
            <w:tcW w:type="dxa" w:w="6408"/>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20"/>
              </w:rPr>
              <w:t>OCEL 2.0; planned PM4Py integration</w:t>
            </w:r>
          </w:p>
        </w:tc>
      </w:tr>
      <w:tr>
        <w:tc>
          <w:tcPr>
            <w:tcW w:type="dxa" w:w="2592"/>
            <w:vAlign w:val="center"/>
            <w:tcMar>
              <w:top w:w="90" w:type="dxa"/>
              <w:left w:w="90" w:type="dxa"/>
              <w:bottom w:w="90" w:type="dxa"/>
              <w:right w:w="90" w:type="dxa"/>
            </w:tcMar>
          </w:tcPr>
          <w:p>
            <w:pPr>
              <w:spacing w:after="0" w:line="240" w:lineRule="auto"/>
              <w:jc w:val="left"/>
            </w:pPr>
            <w:r/>
            <w:r>
              <w:rPr>
                <w:rFonts w:ascii="Times New Roman" w:hAnsi="Times New Roman"/>
                <w:b w:val="0"/>
                <w:sz w:val="20"/>
              </w:rPr>
              <w:t>Analysis</w:t>
            </w:r>
          </w:p>
        </w:tc>
        <w:tc>
          <w:tcPr>
            <w:tcW w:type="dxa" w:w="6408"/>
            <w:vAlign w:val="center"/>
            <w:tcMar>
              <w:top w:w="90" w:type="dxa"/>
              <w:left w:w="90" w:type="dxa"/>
              <w:bottom w:w="90" w:type="dxa"/>
              <w:right w:w="90" w:type="dxa"/>
            </w:tcMar>
          </w:tcPr>
          <w:p>
            <w:pPr>
              <w:spacing w:after="0" w:line="240" w:lineRule="auto"/>
              <w:jc w:val="left"/>
            </w:pPr>
            <w:r/>
            <w:r>
              <w:rPr>
                <w:rFonts w:ascii="Times New Roman" w:hAnsi="Times New Roman"/>
                <w:b w:val="0"/>
                <w:sz w:val="20"/>
              </w:rPr>
              <w:t>deterministic rules, first-order Markov baseline, offline Monte Carlo simulation</w:t>
            </w:r>
          </w:p>
        </w:tc>
      </w:tr>
      <w:tr>
        <w:tc>
          <w:tcPr>
            <w:tcW w:type="dxa" w:w="2592"/>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20"/>
              </w:rPr>
              <w:t>Versioning</w:t>
            </w:r>
          </w:p>
        </w:tc>
        <w:tc>
          <w:tcPr>
            <w:tcW w:type="dxa" w:w="6408"/>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20"/>
              </w:rPr>
              <w:t>source-controlled scripts, manifest and SHA-256 checksums</w:t>
            </w:r>
          </w:p>
        </w:tc>
      </w:tr>
    </w:tbl>
    <w:p>
      <w:pPr>
        <w:spacing w:after="0"/>
      </w:pPr>
    </w:p>
    <w:p>
      <w:r>
        <w:br w:type="page"/>
      </w:r>
    </w:p>
    <w:p>
      <w:pPr>
        <w:pStyle w:val="Heading1"/>
        <w:jc w:val="center"/>
      </w:pPr>
      <w:r>
        <w:rPr>
          <w:rFonts w:ascii="Times New Roman" w:hAnsi="Times New Roman"/>
          <w:b/>
          <w:i w:val="0"/>
          <w:sz w:val="28"/>
        </w:rPr>
        <w:t>4. DESIGN APPROACH AND DETAILS</w:t>
      </w:r>
    </w:p>
    <w:p>
      <w:pPr>
        <w:pStyle w:val="Heading2"/>
        <w:jc w:val="left"/>
      </w:pPr>
      <w:r>
        <w:rPr>
          <w:rFonts w:ascii="Times New Roman" w:hAnsi="Times New Roman"/>
          <w:b/>
          <w:i w:val="0"/>
          <w:sz w:val="26"/>
        </w:rPr>
        <w:t>4.1 System Architecture</w:t>
      </w:r>
    </w:p>
    <w:p>
      <w:pPr>
        <w:keepNext/>
        <w:jc w:val="center"/>
      </w:pPr>
      <w:r>
        <w:drawing>
          <wp:inline xmlns:a="http://schemas.openxmlformats.org/drawingml/2006/main" xmlns:pic="http://schemas.openxmlformats.org/drawingml/2006/picture">
            <wp:extent cx="5715000" cy="2337955"/>
            <wp:docPr id="3" name="Picture 3" title="Fig" descr="Fig. 2. Team 1 native OCEL research pipeline."/>
            <wp:cNvGraphicFramePr>
              <a:graphicFrameLocks noChangeAspect="1"/>
            </wp:cNvGraphicFramePr>
            <a:graphic>
              <a:graphicData uri="http://schemas.openxmlformats.org/drawingml/2006/picture">
                <pic:pic>
                  <pic:nvPicPr>
                    <pic:cNvPr id="0" name="architecture.png"/>
                    <pic:cNvPicPr/>
                  </pic:nvPicPr>
                  <pic:blipFill>
                    <a:blip r:embed="rId19"/>
                    <a:stretch>
                      <a:fillRect/>
                    </a:stretch>
                  </pic:blipFill>
                  <pic:spPr>
                    <a:xfrm>
                      <a:off x="0" y="0"/>
                      <a:ext cx="5715000" cy="2337955"/>
                    </a:xfrm>
                    <a:prstGeom prst="rect"/>
                  </pic:spPr>
                </pic:pic>
              </a:graphicData>
            </a:graphic>
          </wp:inline>
        </w:drawing>
      </w:r>
    </w:p>
    <w:p>
      <w:pPr>
        <w:keepNext w:val="0"/>
        <w:spacing w:after="160"/>
        <w:jc w:val="center"/>
      </w:pPr>
      <w:r>
        <w:rPr>
          <w:rFonts w:ascii="Times New Roman" w:hAnsi="Times New Roman"/>
          <w:sz w:val="22"/>
        </w:rPr>
        <w:t>Fig. 2. Team 1 native OCEL research pipeline.</w:t>
      </w:r>
    </w:p>
    <w:p>
      <w:pPr>
        <w:spacing w:line="276" w:lineRule="auto" w:after="120"/>
        <w:ind w:firstLine="432"/>
        <w:jc w:val="both"/>
      </w:pPr>
      <w:r>
        <w:rPr>
          <w:rFonts w:ascii="Times New Roman" w:hAnsi="Times New Roman"/>
          <w:sz w:val="24"/>
        </w:rPr>
        <w:t>The pipeline begins from Educational Capstone Portal’s audit, domain, state-machine and gap documentation. The mapper emits qualified OCEL relations and a relational SQLite database. Validation precedes discovery, flattening comparison and conformance. The final layer evaluates transparent baselines and offline what-if scenarios; it does not change live Educational Capstone Portal state.</w:t>
      </w:r>
    </w:p>
    <w:p>
      <w:pPr>
        <w:pStyle w:val="Heading2"/>
        <w:jc w:val="left"/>
      </w:pPr>
      <w:r>
        <w:rPr>
          <w:rFonts w:ascii="Times New Roman" w:hAnsi="Times New Roman"/>
          <w:b/>
          <w:i w:val="0"/>
          <w:sz w:val="26"/>
        </w:rPr>
        <w:t>4.2 Design</w:t>
      </w:r>
    </w:p>
    <w:p>
      <w:pPr>
        <w:pStyle w:val="Heading3"/>
        <w:jc w:val="left"/>
      </w:pPr>
      <w:r>
        <w:rPr>
          <w:rFonts w:ascii="Times New Roman" w:hAnsi="Times New Roman"/>
          <w:b/>
          <w:i/>
          <w:sz w:val="24"/>
        </w:rPr>
        <w:t>4.2.1 Data Flow Diagram</w:t>
      </w:r>
    </w:p>
    <w:p>
      <w:pPr>
        <w:keepNext/>
        <w:jc w:val="center"/>
      </w:pPr>
      <w:r>
        <w:drawing>
          <wp:inline xmlns:a="http://schemas.openxmlformats.org/drawingml/2006/main" xmlns:pic="http://schemas.openxmlformats.org/drawingml/2006/picture">
            <wp:extent cx="5715000" cy="3238500"/>
            <wp:docPr id="4" name="Picture 4" title="Fig" descr="Fig. 3. Level-1 data flow for synthetic and future approved Educational Capstone Portal evidence."/>
            <wp:cNvGraphicFramePr>
              <a:graphicFrameLocks noChangeAspect="1"/>
            </wp:cNvGraphicFramePr>
            <a:graphic>
              <a:graphicData uri="http://schemas.openxmlformats.org/drawingml/2006/picture">
                <pic:pic>
                  <pic:nvPicPr>
                    <pic:cNvPr id="0" name="dfd.png"/>
                    <pic:cNvPicPr/>
                  </pic:nvPicPr>
                  <pic:blipFill>
                    <a:blip r:embed="rId20"/>
                    <a:stretch>
                      <a:fillRect/>
                    </a:stretch>
                  </pic:blipFill>
                  <pic:spPr>
                    <a:xfrm>
                      <a:off x="0" y="0"/>
                      <a:ext cx="5715000" cy="3238500"/>
                    </a:xfrm>
                    <a:prstGeom prst="rect"/>
                  </pic:spPr>
                </pic:pic>
              </a:graphicData>
            </a:graphic>
          </wp:inline>
        </w:drawing>
      </w:r>
    </w:p>
    <w:p>
      <w:pPr>
        <w:keepNext w:val="0"/>
        <w:spacing w:after="160"/>
        <w:jc w:val="center"/>
      </w:pPr>
      <w:r>
        <w:rPr>
          <w:rFonts w:ascii="Times New Roman" w:hAnsi="Times New Roman"/>
          <w:sz w:val="22"/>
        </w:rPr>
        <w:t>Fig. 3. Level-1 data flow for synthetic and future approved Educational Capstone Portal evidence.</w:t>
      </w:r>
    </w:p>
    <w:p>
      <w:pPr>
        <w:pStyle w:val="Heading3"/>
        <w:jc w:val="left"/>
      </w:pPr>
      <w:r>
        <w:rPr>
          <w:rFonts w:ascii="Times New Roman" w:hAnsi="Times New Roman"/>
          <w:b/>
          <w:i/>
          <w:sz w:val="24"/>
        </w:rPr>
        <w:t>4.2.2 Use Case Diagram</w:t>
      </w:r>
    </w:p>
    <w:p>
      <w:pPr>
        <w:keepNext/>
        <w:jc w:val="center"/>
      </w:pPr>
      <w:r>
        <w:drawing>
          <wp:inline xmlns:a="http://schemas.openxmlformats.org/drawingml/2006/main" xmlns:pic="http://schemas.openxmlformats.org/drawingml/2006/picture">
            <wp:extent cx="5715000" cy="3238500"/>
            <wp:docPr id="5" name="Picture 5" title="Fig" descr="Fig. 4. Research-prototype use cases and approval actors."/>
            <wp:cNvGraphicFramePr>
              <a:graphicFrameLocks noChangeAspect="1"/>
            </wp:cNvGraphicFramePr>
            <a:graphic>
              <a:graphicData uri="http://schemas.openxmlformats.org/drawingml/2006/picture">
                <pic:pic>
                  <pic:nvPicPr>
                    <pic:cNvPr id="0" name="use_case.png"/>
                    <pic:cNvPicPr/>
                  </pic:nvPicPr>
                  <pic:blipFill>
                    <a:blip r:embed="rId21"/>
                    <a:stretch>
                      <a:fillRect/>
                    </a:stretch>
                  </pic:blipFill>
                  <pic:spPr>
                    <a:xfrm>
                      <a:off x="0" y="0"/>
                      <a:ext cx="5715000" cy="3238500"/>
                    </a:xfrm>
                    <a:prstGeom prst="rect"/>
                  </pic:spPr>
                </pic:pic>
              </a:graphicData>
            </a:graphic>
          </wp:inline>
        </w:drawing>
      </w:r>
    </w:p>
    <w:p>
      <w:pPr>
        <w:keepNext w:val="0"/>
        <w:spacing w:after="160"/>
        <w:jc w:val="center"/>
      </w:pPr>
      <w:r>
        <w:rPr>
          <w:rFonts w:ascii="Times New Roman" w:hAnsi="Times New Roman"/>
          <w:sz w:val="22"/>
        </w:rPr>
        <w:t>Fig. 4. Research-prototype use cases and approval actors.</w:t>
      </w:r>
    </w:p>
    <w:p>
      <w:pPr>
        <w:pStyle w:val="Heading3"/>
        <w:jc w:val="left"/>
      </w:pPr>
      <w:r>
        <w:rPr>
          <w:rFonts w:ascii="Times New Roman" w:hAnsi="Times New Roman"/>
          <w:b/>
          <w:i/>
          <w:sz w:val="24"/>
        </w:rPr>
        <w:t>4.2.3 OCEL Object and Relation Design</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1872"/>
            <w:vAlign w:val="center"/>
            <w:tcMar>
              <w:top w:w="90" w:type="dxa"/>
              <w:left w:w="90" w:type="dxa"/>
              <w:bottom w:w="90" w:type="dxa"/>
              <w:right w:w="90" w:type="dxa"/>
            </w:tcMar>
            <w:shd w:fill="D9EAF7"/>
          </w:tcPr>
          <w:p>
            <w:pPr>
              <w:spacing w:after="0" w:line="240" w:lineRule="auto"/>
              <w:jc w:val="center"/>
            </w:pPr>
            <w:r/>
            <w:r>
              <w:rPr>
                <w:rFonts w:ascii="Times New Roman" w:hAnsi="Times New Roman"/>
                <w:b/>
                <w:sz w:val="19"/>
              </w:rPr>
              <w:t>Object type</w:t>
            </w:r>
          </w:p>
        </w:tc>
        <w:tc>
          <w:tcPr>
            <w:tcW w:type="dxa" w:w="2880"/>
            <w:vAlign w:val="center"/>
            <w:tcMar>
              <w:top w:w="90" w:type="dxa"/>
              <w:left w:w="90" w:type="dxa"/>
              <w:bottom w:w="90" w:type="dxa"/>
              <w:right w:w="90" w:type="dxa"/>
            </w:tcMar>
            <w:shd w:fill="D9EAF7"/>
          </w:tcPr>
          <w:p>
            <w:pPr>
              <w:spacing w:after="0" w:line="240" w:lineRule="auto"/>
              <w:jc w:val="center"/>
            </w:pPr>
            <w:r/>
            <w:r>
              <w:rPr>
                <w:rFonts w:ascii="Times New Roman" w:hAnsi="Times New Roman"/>
                <w:b/>
                <w:sz w:val="19"/>
              </w:rPr>
              <w:t>Role</w:t>
            </w:r>
          </w:p>
        </w:tc>
        <w:tc>
          <w:tcPr>
            <w:tcW w:type="dxa" w:w="4248"/>
            <w:vAlign w:val="center"/>
            <w:tcMar>
              <w:top w:w="90" w:type="dxa"/>
              <w:left w:w="90" w:type="dxa"/>
              <w:bottom w:w="90" w:type="dxa"/>
              <w:right w:w="90" w:type="dxa"/>
            </w:tcMar>
            <w:shd w:fill="D9EAF7"/>
          </w:tcPr>
          <w:p>
            <w:pPr>
              <w:spacing w:after="0" w:line="240" w:lineRule="auto"/>
              <w:jc w:val="center"/>
            </w:pPr>
            <w:r/>
            <w:r>
              <w:rPr>
                <w:rFonts w:ascii="Times New Roman" w:hAnsi="Times New Roman"/>
                <w:b/>
                <w:sz w:val="19"/>
              </w:rPr>
              <w:t>Representative qualified relations</w:t>
            </w:r>
          </w:p>
        </w:tc>
      </w:tr>
      <w:tr>
        <w:tc>
          <w:tcPr>
            <w:tcW w:type="dxa" w:w="1872"/>
            <w:vAlign w:val="center"/>
            <w:tcMar>
              <w:top w:w="90" w:type="dxa"/>
              <w:left w:w="90" w:type="dxa"/>
              <w:bottom w:w="90" w:type="dxa"/>
              <w:right w:w="90" w:type="dxa"/>
            </w:tcMar>
          </w:tcPr>
          <w:p>
            <w:pPr>
              <w:spacing w:after="0" w:line="240" w:lineRule="auto"/>
              <w:jc w:val="left"/>
            </w:pPr>
            <w:r/>
            <w:r>
              <w:rPr>
                <w:rFonts w:ascii="Times New Roman" w:hAnsi="Times New Roman"/>
                <w:b w:val="0"/>
                <w:sz w:val="19"/>
              </w:rPr>
              <w:t>Project</w:t>
            </w:r>
          </w:p>
        </w:tc>
        <w:tc>
          <w:tcPr>
            <w:tcW w:type="dxa" w:w="2880"/>
            <w:vAlign w:val="center"/>
            <w:tcMar>
              <w:top w:w="90" w:type="dxa"/>
              <w:left w:w="90" w:type="dxa"/>
              <w:bottom w:w="90" w:type="dxa"/>
              <w:right w:w="90" w:type="dxa"/>
            </w:tcMar>
          </w:tcPr>
          <w:p>
            <w:pPr>
              <w:spacing w:after="0" w:line="240" w:lineRule="auto"/>
              <w:jc w:val="left"/>
            </w:pPr>
            <w:r/>
            <w:r>
              <w:rPr>
                <w:rFonts w:ascii="Times New Roman" w:hAnsi="Times New Roman"/>
                <w:b w:val="0"/>
                <w:sz w:val="19"/>
              </w:rPr>
              <w:t>Primary capstone instance</w:t>
            </w:r>
          </w:p>
        </w:tc>
        <w:tc>
          <w:tcPr>
            <w:tcW w:type="dxa" w:w="4248"/>
            <w:vAlign w:val="center"/>
            <w:tcMar>
              <w:top w:w="90" w:type="dxa"/>
              <w:left w:w="90" w:type="dxa"/>
              <w:bottom w:w="90" w:type="dxa"/>
              <w:right w:w="90" w:type="dxa"/>
            </w:tcMar>
          </w:tcPr>
          <w:p>
            <w:pPr>
              <w:spacing w:after="0" w:line="240" w:lineRule="auto"/>
              <w:jc w:val="left"/>
            </w:pPr>
            <w:r/>
            <w:r>
              <w:rPr>
                <w:rFonts w:ascii="Times New Roman" w:hAnsi="Times New Roman"/>
                <w:b w:val="0"/>
                <w:sz w:val="19"/>
              </w:rPr>
              <w:t>has_team; supervised_by; has_report_version</w:t>
            </w:r>
          </w:p>
        </w:tc>
      </w:tr>
      <w:tr>
        <w:tc>
          <w:tcPr>
            <w:tcW w:type="dxa" w:w="1872"/>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9"/>
              </w:rPr>
              <w:t>Team</w:t>
            </w:r>
          </w:p>
        </w:tc>
        <w:tc>
          <w:tcPr>
            <w:tcW w:type="dxa" w:w="2880"/>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9"/>
              </w:rPr>
              <w:t>Student collaboration unit</w:t>
            </w:r>
          </w:p>
        </w:tc>
        <w:tc>
          <w:tcPr>
            <w:tcW w:type="dxa" w:w="4248"/>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9"/>
              </w:rPr>
              <w:t>contains_student; owns_project</w:t>
            </w:r>
          </w:p>
        </w:tc>
      </w:tr>
      <w:tr>
        <w:tc>
          <w:tcPr>
            <w:tcW w:type="dxa" w:w="1872"/>
            <w:vAlign w:val="center"/>
            <w:tcMar>
              <w:top w:w="90" w:type="dxa"/>
              <w:left w:w="90" w:type="dxa"/>
              <w:bottom w:w="90" w:type="dxa"/>
              <w:right w:w="90" w:type="dxa"/>
            </w:tcMar>
          </w:tcPr>
          <w:p>
            <w:pPr>
              <w:spacing w:after="0" w:line="240" w:lineRule="auto"/>
              <w:jc w:val="left"/>
            </w:pPr>
            <w:r/>
            <w:r>
              <w:rPr>
                <w:rFonts w:ascii="Times New Roman" w:hAnsi="Times New Roman"/>
                <w:b w:val="0"/>
                <w:sz w:val="19"/>
              </w:rPr>
              <w:t>Student</w:t>
            </w:r>
          </w:p>
        </w:tc>
        <w:tc>
          <w:tcPr>
            <w:tcW w:type="dxa" w:w="2880"/>
            <w:vAlign w:val="center"/>
            <w:tcMar>
              <w:top w:w="90" w:type="dxa"/>
              <w:left w:w="90" w:type="dxa"/>
              <w:bottom w:w="90" w:type="dxa"/>
              <w:right w:w="90" w:type="dxa"/>
            </w:tcMar>
          </w:tcPr>
          <w:p>
            <w:pPr>
              <w:spacing w:after="0" w:line="240" w:lineRule="auto"/>
              <w:jc w:val="left"/>
            </w:pPr>
            <w:r/>
            <w:r>
              <w:rPr>
                <w:rFonts w:ascii="Times New Roman" w:hAnsi="Times New Roman"/>
                <w:b w:val="0"/>
                <w:sz w:val="19"/>
              </w:rPr>
              <w:t>Pseudonymous participant</w:t>
            </w:r>
          </w:p>
        </w:tc>
        <w:tc>
          <w:tcPr>
            <w:tcW w:type="dxa" w:w="4248"/>
            <w:vAlign w:val="center"/>
            <w:tcMar>
              <w:top w:w="90" w:type="dxa"/>
              <w:left w:w="90" w:type="dxa"/>
              <w:bottom w:w="90" w:type="dxa"/>
              <w:right w:w="90" w:type="dxa"/>
            </w:tcMar>
          </w:tcPr>
          <w:p>
            <w:pPr>
              <w:spacing w:after="0" w:line="240" w:lineRule="auto"/>
              <w:jc w:val="left"/>
            </w:pPr>
            <w:r/>
            <w:r>
              <w:rPr>
                <w:rFonts w:ascii="Times New Roman" w:hAnsi="Times New Roman"/>
                <w:b w:val="0"/>
                <w:sz w:val="19"/>
              </w:rPr>
              <w:t>member_of; authors_version</w:t>
            </w:r>
          </w:p>
        </w:tc>
      </w:tr>
      <w:tr>
        <w:tc>
          <w:tcPr>
            <w:tcW w:type="dxa" w:w="1872"/>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9"/>
              </w:rPr>
              <w:t>Faculty</w:t>
            </w:r>
          </w:p>
        </w:tc>
        <w:tc>
          <w:tcPr>
            <w:tcW w:type="dxa" w:w="2880"/>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9"/>
              </w:rPr>
              <w:t>Guide/reviewer</w:t>
            </w:r>
          </w:p>
        </w:tc>
        <w:tc>
          <w:tcPr>
            <w:tcW w:type="dxa" w:w="4248"/>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9"/>
              </w:rPr>
              <w:t>supervises; reviews; has_capacity</w:t>
            </w:r>
          </w:p>
        </w:tc>
      </w:tr>
      <w:tr>
        <w:tc>
          <w:tcPr>
            <w:tcW w:type="dxa" w:w="1872"/>
            <w:vAlign w:val="center"/>
            <w:tcMar>
              <w:top w:w="90" w:type="dxa"/>
              <w:left w:w="90" w:type="dxa"/>
              <w:bottom w:w="90" w:type="dxa"/>
              <w:right w:w="90" w:type="dxa"/>
            </w:tcMar>
          </w:tcPr>
          <w:p>
            <w:pPr>
              <w:spacing w:after="0" w:line="240" w:lineRule="auto"/>
              <w:jc w:val="left"/>
            </w:pPr>
            <w:r/>
            <w:r>
              <w:rPr>
                <w:rFonts w:ascii="Times New Roman" w:hAnsi="Times New Roman"/>
                <w:b w:val="0"/>
                <w:sz w:val="19"/>
              </w:rPr>
              <w:t>ReportVersion</w:t>
            </w:r>
          </w:p>
        </w:tc>
        <w:tc>
          <w:tcPr>
            <w:tcW w:type="dxa" w:w="2880"/>
            <w:vAlign w:val="center"/>
            <w:tcMar>
              <w:top w:w="90" w:type="dxa"/>
              <w:left w:w="90" w:type="dxa"/>
              <w:bottom w:w="90" w:type="dxa"/>
              <w:right w:w="90" w:type="dxa"/>
            </w:tcMar>
          </w:tcPr>
          <w:p>
            <w:pPr>
              <w:spacing w:after="0" w:line="240" w:lineRule="auto"/>
              <w:jc w:val="left"/>
            </w:pPr>
            <w:r/>
            <w:r>
              <w:rPr>
                <w:rFonts w:ascii="Times New Roman" w:hAnsi="Times New Roman"/>
                <w:b w:val="0"/>
                <w:sz w:val="19"/>
              </w:rPr>
              <w:t>Versioned academic artifact</w:t>
            </w:r>
          </w:p>
        </w:tc>
        <w:tc>
          <w:tcPr>
            <w:tcW w:type="dxa" w:w="4248"/>
            <w:vAlign w:val="center"/>
            <w:tcMar>
              <w:top w:w="90" w:type="dxa"/>
              <w:left w:w="90" w:type="dxa"/>
              <w:bottom w:w="90" w:type="dxa"/>
              <w:right w:w="90" w:type="dxa"/>
            </w:tcMar>
          </w:tcPr>
          <w:p>
            <w:pPr>
              <w:spacing w:after="0" w:line="240" w:lineRule="auto"/>
              <w:jc w:val="left"/>
            </w:pPr>
            <w:r/>
            <w:r>
              <w:rPr>
                <w:rFonts w:ascii="Times New Roman" w:hAnsi="Times New Roman"/>
                <w:b w:val="0"/>
                <w:sz w:val="19"/>
              </w:rPr>
              <w:t>version_of_project; submitted_in_stage</w:t>
            </w:r>
          </w:p>
        </w:tc>
      </w:tr>
      <w:tr>
        <w:tc>
          <w:tcPr>
            <w:tcW w:type="dxa" w:w="1872"/>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9"/>
              </w:rPr>
              <w:t>ReviewStage</w:t>
            </w:r>
          </w:p>
        </w:tc>
        <w:tc>
          <w:tcPr>
            <w:tcW w:type="dxa" w:w="2880"/>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9"/>
              </w:rPr>
              <w:t>R1/R2/R3 lifecycle stage</w:t>
            </w:r>
          </w:p>
        </w:tc>
        <w:tc>
          <w:tcPr>
            <w:tcW w:type="dxa" w:w="4248"/>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9"/>
              </w:rPr>
              <w:t>evaluates_version</w:t>
            </w:r>
          </w:p>
        </w:tc>
      </w:tr>
      <w:tr>
        <w:tc>
          <w:tcPr>
            <w:tcW w:type="dxa" w:w="1872"/>
            <w:vAlign w:val="center"/>
            <w:tcMar>
              <w:top w:w="90" w:type="dxa"/>
              <w:left w:w="90" w:type="dxa"/>
              <w:bottom w:w="90" w:type="dxa"/>
              <w:right w:w="90" w:type="dxa"/>
            </w:tcMar>
          </w:tcPr>
          <w:p>
            <w:pPr>
              <w:spacing w:after="0" w:line="240" w:lineRule="auto"/>
              <w:jc w:val="left"/>
            </w:pPr>
            <w:r/>
            <w:r>
              <w:rPr>
                <w:rFonts w:ascii="Times New Roman" w:hAnsi="Times New Roman"/>
                <w:b w:val="0"/>
                <w:sz w:val="19"/>
              </w:rPr>
              <w:t>Score</w:t>
            </w:r>
          </w:p>
        </w:tc>
        <w:tc>
          <w:tcPr>
            <w:tcW w:type="dxa" w:w="2880"/>
            <w:vAlign w:val="center"/>
            <w:tcMar>
              <w:top w:w="90" w:type="dxa"/>
              <w:left w:w="90" w:type="dxa"/>
              <w:bottom w:w="90" w:type="dxa"/>
              <w:right w:w="90" w:type="dxa"/>
            </w:tcMar>
          </w:tcPr>
          <w:p>
            <w:pPr>
              <w:spacing w:after="0" w:line="240" w:lineRule="auto"/>
              <w:jc w:val="left"/>
            </w:pPr>
            <w:r/>
            <w:r>
              <w:rPr>
                <w:rFonts w:ascii="Times New Roman" w:hAnsi="Times New Roman"/>
                <w:b w:val="0"/>
                <w:sz w:val="19"/>
              </w:rPr>
              <w:t>Write-once evaluation outcome</w:t>
            </w:r>
          </w:p>
        </w:tc>
        <w:tc>
          <w:tcPr>
            <w:tcW w:type="dxa" w:w="4248"/>
            <w:vAlign w:val="center"/>
            <w:tcMar>
              <w:top w:w="90" w:type="dxa"/>
              <w:left w:w="90" w:type="dxa"/>
              <w:bottom w:w="90" w:type="dxa"/>
              <w:right w:w="90" w:type="dxa"/>
            </w:tcMar>
          </w:tcPr>
          <w:p>
            <w:pPr>
              <w:spacing w:after="0" w:line="240" w:lineRule="auto"/>
              <w:jc w:val="left"/>
            </w:pPr>
            <w:r/>
            <w:r>
              <w:rPr>
                <w:rFonts w:ascii="Times New Roman" w:hAnsi="Times New Roman"/>
                <w:b w:val="0"/>
                <w:sz w:val="19"/>
              </w:rPr>
              <w:t>scores_version; assigned_by_faculty</w:t>
            </w:r>
          </w:p>
        </w:tc>
      </w:tr>
    </w:tbl>
    <w:p>
      <w:pPr>
        <w:spacing w:after="0"/>
      </w:pPr>
    </w:p>
    <w:p>
      <w:pPr>
        <w:pStyle w:val="Heading2"/>
        <w:jc w:val="left"/>
      </w:pPr>
      <w:r>
        <w:rPr>
          <w:rFonts w:ascii="Times New Roman" w:hAnsi="Times New Roman"/>
          <w:b/>
          <w:i w:val="0"/>
          <w:sz w:val="26"/>
        </w:rPr>
        <w:t>4.3 Experimental Method</w:t>
      </w:r>
    </w:p>
    <w:p>
      <w:pPr>
        <w:spacing w:line="276" w:lineRule="auto" w:after="120"/>
        <w:ind w:firstLine="432"/>
        <w:jc w:val="both"/>
      </w:pPr>
      <w:r>
        <w:rPr>
          <w:rFonts w:ascii="Times New Roman" w:hAnsi="Times New Roman"/>
          <w:sz w:val="24"/>
        </w:rPr>
        <w:t>Each scenario contains 120 projects, 30 faculty members and three students per team. The generator uses seed 4971. The clean-target scenario follows the intended lifecycle; the implemented-baseline reflects the documented R1-only build; the gap-injected scenario adds controlled violations with oracle labels. IDs are synthetic and contain no institutional identities.</w:t>
      </w:r>
    </w:p>
    <w:p>
      <w:pPr>
        <w:spacing w:line="276" w:lineRule="auto" w:after="120"/>
        <w:ind w:firstLine="432"/>
        <w:jc w:val="both"/>
      </w:pPr>
      <w:r>
        <w:rPr>
          <w:rFonts w:ascii="Times New Roman" w:hAnsi="Times New Roman"/>
          <w:sz w:val="24"/>
        </w:rPr>
        <w:t>The evaluation is ordered to avoid conflating two failure modes. First, Source Instrumentation Coverage measures whether evidence exists in the source schema. Second, representation tests compare the same generated relations and risk predicates after project-, student- and report-version-centric flattening. Detector metrics are computed against injected labels. Prediction uses a 70/15/15 split grouped by project to prevent transition leakage. Simulation uses 5,000 offline projects per policy scenario.</w:t>
      </w:r>
    </w:p>
    <w:p>
      <w:pPr>
        <w:pStyle w:val="Heading2"/>
        <w:jc w:val="left"/>
      </w:pPr>
      <w:r>
        <w:rPr>
          <w:rFonts w:ascii="Times New Roman" w:hAnsi="Times New Roman"/>
          <w:b/>
          <w:i w:val="0"/>
          <w:sz w:val="26"/>
        </w:rPr>
        <w:t>4.4 Preliminary Results</w:t>
      </w:r>
    </w:p>
    <w:tbl>
      <w:tblPr>
        <w:tblStyle w:val="TableGrid"/>
        <w:tblW w:type="auto" w:w="0"/>
        <w:jc w:val="center"/>
        <w:tblLayout w:type="fixed"/>
        <w:tblLook w:firstColumn="1" w:firstRow="1" w:lastColumn="0" w:lastRow="0" w:noHBand="0" w:noVBand="1" w:val="04A0"/>
      </w:tblPr>
      <w:tblGrid>
        <w:gridCol w:w="1806"/>
        <w:gridCol w:w="1806"/>
        <w:gridCol w:w="1806"/>
        <w:gridCol w:w="1806"/>
        <w:gridCol w:w="1806"/>
      </w:tblGrid>
      <w:tr>
        <w:trPr>
          <w:tblHeader w:val="true"/>
        </w:trPr>
        <w:tc>
          <w:tcPr>
            <w:tcW w:type="dxa" w:w="2520"/>
            <w:vAlign w:val="center"/>
            <w:tcMar>
              <w:top w:w="90" w:type="dxa"/>
              <w:left w:w="90" w:type="dxa"/>
              <w:bottom w:w="90" w:type="dxa"/>
              <w:right w:w="90" w:type="dxa"/>
            </w:tcMar>
            <w:shd w:fill="D9EAF7"/>
          </w:tcPr>
          <w:p>
            <w:pPr>
              <w:spacing w:after="0" w:line="240" w:lineRule="auto"/>
              <w:jc w:val="center"/>
            </w:pPr>
            <w:r/>
            <w:r>
              <w:rPr>
                <w:rFonts w:ascii="Times New Roman" w:hAnsi="Times New Roman"/>
                <w:b/>
                <w:sz w:val="20"/>
              </w:rPr>
              <w:t>Scenario</w:t>
            </w:r>
          </w:p>
        </w:tc>
        <w:tc>
          <w:tcPr>
            <w:tcW w:type="dxa" w:w="1440"/>
            <w:vAlign w:val="center"/>
            <w:tcMar>
              <w:top w:w="90" w:type="dxa"/>
              <w:left w:w="90" w:type="dxa"/>
              <w:bottom w:w="90" w:type="dxa"/>
              <w:right w:w="90" w:type="dxa"/>
            </w:tcMar>
            <w:shd w:fill="D9EAF7"/>
          </w:tcPr>
          <w:p>
            <w:pPr>
              <w:spacing w:after="0" w:line="240" w:lineRule="auto"/>
              <w:jc w:val="center"/>
            </w:pPr>
            <w:r/>
            <w:r>
              <w:rPr>
                <w:rFonts w:ascii="Times New Roman" w:hAnsi="Times New Roman"/>
                <w:b/>
                <w:sz w:val="20"/>
              </w:rPr>
              <w:t>Events</w:t>
            </w:r>
          </w:p>
        </w:tc>
        <w:tc>
          <w:tcPr>
            <w:tcW w:type="dxa" w:w="1440"/>
            <w:vAlign w:val="center"/>
            <w:tcMar>
              <w:top w:w="90" w:type="dxa"/>
              <w:left w:w="90" w:type="dxa"/>
              <w:bottom w:w="90" w:type="dxa"/>
              <w:right w:w="90" w:type="dxa"/>
            </w:tcMar>
            <w:shd w:fill="D9EAF7"/>
          </w:tcPr>
          <w:p>
            <w:pPr>
              <w:spacing w:after="0" w:line="240" w:lineRule="auto"/>
              <w:jc w:val="center"/>
            </w:pPr>
            <w:r/>
            <w:r>
              <w:rPr>
                <w:rFonts w:ascii="Times New Roman" w:hAnsi="Times New Roman"/>
                <w:b/>
                <w:sz w:val="20"/>
              </w:rPr>
              <w:t>Objects</w:t>
            </w:r>
          </w:p>
        </w:tc>
        <w:tc>
          <w:tcPr>
            <w:tcW w:type="dxa" w:w="1440"/>
            <w:vAlign w:val="center"/>
            <w:tcMar>
              <w:top w:w="90" w:type="dxa"/>
              <w:left w:w="90" w:type="dxa"/>
              <w:bottom w:w="90" w:type="dxa"/>
              <w:right w:w="90" w:type="dxa"/>
            </w:tcMar>
            <w:shd w:fill="D9EAF7"/>
          </w:tcPr>
          <w:p>
            <w:pPr>
              <w:spacing w:after="0" w:line="240" w:lineRule="auto"/>
              <w:jc w:val="center"/>
            </w:pPr>
            <w:r/>
            <w:r>
              <w:rPr>
                <w:rFonts w:ascii="Times New Roman" w:hAnsi="Times New Roman"/>
                <w:b/>
                <w:sz w:val="20"/>
              </w:rPr>
              <w:t>E2O</w:t>
            </w:r>
          </w:p>
        </w:tc>
        <w:tc>
          <w:tcPr>
            <w:tcW w:type="dxa" w:w="1440"/>
            <w:vAlign w:val="center"/>
            <w:tcMar>
              <w:top w:w="90" w:type="dxa"/>
              <w:left w:w="90" w:type="dxa"/>
              <w:bottom w:w="90" w:type="dxa"/>
              <w:right w:w="90" w:type="dxa"/>
            </w:tcMar>
            <w:shd w:fill="D9EAF7"/>
          </w:tcPr>
          <w:p>
            <w:pPr>
              <w:spacing w:after="0" w:line="240" w:lineRule="auto"/>
              <w:jc w:val="center"/>
            </w:pPr>
            <w:r/>
            <w:r>
              <w:rPr>
                <w:rFonts w:ascii="Times New Roman" w:hAnsi="Times New Roman"/>
                <w:b/>
                <w:sz w:val="20"/>
              </w:rPr>
              <w:t>O2O</w:t>
            </w:r>
          </w:p>
        </w:tc>
      </w:tr>
      <w:tr>
        <w:tc>
          <w:tcPr>
            <w:tcW w:type="dxa" w:w="2520"/>
            <w:vAlign w:val="center"/>
            <w:tcMar>
              <w:top w:w="90" w:type="dxa"/>
              <w:left w:w="90" w:type="dxa"/>
              <w:bottom w:w="90" w:type="dxa"/>
              <w:right w:w="90" w:type="dxa"/>
            </w:tcMar>
          </w:tcPr>
          <w:p>
            <w:pPr>
              <w:spacing w:after="0" w:line="240" w:lineRule="auto"/>
              <w:jc w:val="left"/>
            </w:pPr>
            <w:r/>
            <w:r>
              <w:rPr>
                <w:rFonts w:ascii="Times New Roman" w:hAnsi="Times New Roman"/>
                <w:b w:val="0"/>
                <w:sz w:val="20"/>
              </w:rPr>
              <w:t>Clean target</w:t>
            </w:r>
          </w:p>
        </w:tc>
        <w:tc>
          <w:tcPr>
            <w:tcW w:type="dxa" w:w="1440"/>
            <w:vAlign w:val="center"/>
            <w:tcMar>
              <w:top w:w="90" w:type="dxa"/>
              <w:left w:w="90" w:type="dxa"/>
              <w:bottom w:w="90" w:type="dxa"/>
              <w:right w:w="90" w:type="dxa"/>
            </w:tcMar>
          </w:tcPr>
          <w:p>
            <w:pPr>
              <w:spacing w:after="0" w:line="240" w:lineRule="auto"/>
              <w:jc w:val="left"/>
            </w:pPr>
            <w:r/>
            <w:r>
              <w:rPr>
                <w:rFonts w:ascii="Times New Roman" w:hAnsi="Times New Roman"/>
                <w:b w:val="0"/>
                <w:sz w:val="20"/>
              </w:rPr>
              <w:t>2,346</w:t>
            </w:r>
          </w:p>
        </w:tc>
        <w:tc>
          <w:tcPr>
            <w:tcW w:type="dxa" w:w="1440"/>
            <w:vAlign w:val="center"/>
            <w:tcMar>
              <w:top w:w="90" w:type="dxa"/>
              <w:left w:w="90" w:type="dxa"/>
              <w:bottom w:w="90" w:type="dxa"/>
              <w:right w:w="90" w:type="dxa"/>
            </w:tcMar>
          </w:tcPr>
          <w:p>
            <w:pPr>
              <w:spacing w:after="0" w:line="240" w:lineRule="auto"/>
              <w:jc w:val="left"/>
            </w:pPr>
            <w:r/>
            <w:r>
              <w:rPr>
                <w:rFonts w:ascii="Times New Roman" w:hAnsi="Times New Roman"/>
                <w:b w:val="0"/>
                <w:sz w:val="20"/>
              </w:rPr>
              <w:t>1,530</w:t>
            </w:r>
          </w:p>
        </w:tc>
        <w:tc>
          <w:tcPr>
            <w:tcW w:type="dxa" w:w="1440"/>
            <w:vAlign w:val="center"/>
            <w:tcMar>
              <w:top w:w="90" w:type="dxa"/>
              <w:left w:w="90" w:type="dxa"/>
              <w:bottom w:w="90" w:type="dxa"/>
              <w:right w:w="90" w:type="dxa"/>
            </w:tcMar>
          </w:tcPr>
          <w:p>
            <w:pPr>
              <w:spacing w:after="0" w:line="240" w:lineRule="auto"/>
              <w:jc w:val="left"/>
            </w:pPr>
            <w:r/>
            <w:r>
              <w:rPr>
                <w:rFonts w:ascii="Times New Roman" w:hAnsi="Times New Roman"/>
                <w:b w:val="0"/>
                <w:sz w:val="20"/>
              </w:rPr>
              <w:t>8,412</w:t>
            </w:r>
          </w:p>
        </w:tc>
        <w:tc>
          <w:tcPr>
            <w:tcW w:type="dxa" w:w="1440"/>
            <w:vAlign w:val="center"/>
            <w:tcMar>
              <w:top w:w="90" w:type="dxa"/>
              <w:left w:w="90" w:type="dxa"/>
              <w:bottom w:w="90" w:type="dxa"/>
              <w:right w:w="90" w:type="dxa"/>
            </w:tcMar>
          </w:tcPr>
          <w:p>
            <w:pPr>
              <w:spacing w:after="0" w:line="240" w:lineRule="auto"/>
              <w:jc w:val="left"/>
            </w:pPr>
            <w:r/>
            <w:r>
              <w:rPr>
                <w:rFonts w:ascii="Times New Roman" w:hAnsi="Times New Roman"/>
                <w:b w:val="0"/>
                <w:sz w:val="20"/>
              </w:rPr>
              <w:t>1,860</w:t>
            </w:r>
          </w:p>
        </w:tc>
      </w:tr>
      <w:tr>
        <w:tc>
          <w:tcPr>
            <w:tcW w:type="dxa" w:w="2520"/>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20"/>
              </w:rPr>
              <w:t>Implemented baseline</w:t>
            </w:r>
          </w:p>
        </w:tc>
        <w:tc>
          <w:tcPr>
            <w:tcW w:type="dxa" w:w="1440"/>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20"/>
              </w:rPr>
              <w:t>811</w:t>
            </w:r>
          </w:p>
        </w:tc>
        <w:tc>
          <w:tcPr>
            <w:tcW w:type="dxa" w:w="1440"/>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20"/>
              </w:rPr>
              <w:t>1,005</w:t>
            </w:r>
          </w:p>
        </w:tc>
        <w:tc>
          <w:tcPr>
            <w:tcW w:type="dxa" w:w="1440"/>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20"/>
              </w:rPr>
              <w:t>3,152</w:t>
            </w:r>
          </w:p>
        </w:tc>
        <w:tc>
          <w:tcPr>
            <w:tcW w:type="dxa" w:w="1440"/>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20"/>
              </w:rPr>
              <w:t>1,095</w:t>
            </w:r>
          </w:p>
        </w:tc>
      </w:tr>
      <w:tr>
        <w:tc>
          <w:tcPr>
            <w:tcW w:type="dxa" w:w="2520"/>
            <w:vAlign w:val="center"/>
            <w:tcMar>
              <w:top w:w="90" w:type="dxa"/>
              <w:left w:w="90" w:type="dxa"/>
              <w:bottom w:w="90" w:type="dxa"/>
              <w:right w:w="90" w:type="dxa"/>
            </w:tcMar>
          </w:tcPr>
          <w:p>
            <w:pPr>
              <w:spacing w:after="0" w:line="240" w:lineRule="auto"/>
              <w:jc w:val="left"/>
            </w:pPr>
            <w:r/>
            <w:r>
              <w:rPr>
                <w:rFonts w:ascii="Times New Roman" w:hAnsi="Times New Roman"/>
                <w:b w:val="0"/>
                <w:sz w:val="20"/>
              </w:rPr>
              <w:t>Gap injected</w:t>
            </w:r>
          </w:p>
        </w:tc>
        <w:tc>
          <w:tcPr>
            <w:tcW w:type="dxa" w:w="1440"/>
            <w:vAlign w:val="center"/>
            <w:tcMar>
              <w:top w:w="90" w:type="dxa"/>
              <w:left w:w="90" w:type="dxa"/>
              <w:bottom w:w="90" w:type="dxa"/>
              <w:right w:w="90" w:type="dxa"/>
            </w:tcMar>
          </w:tcPr>
          <w:p>
            <w:pPr>
              <w:spacing w:after="0" w:line="240" w:lineRule="auto"/>
              <w:jc w:val="left"/>
            </w:pPr>
            <w:r/>
            <w:r>
              <w:rPr>
                <w:rFonts w:ascii="Times New Roman" w:hAnsi="Times New Roman"/>
                <w:b w:val="0"/>
                <w:sz w:val="20"/>
              </w:rPr>
              <w:t>2,083</w:t>
            </w:r>
          </w:p>
        </w:tc>
        <w:tc>
          <w:tcPr>
            <w:tcW w:type="dxa" w:w="1440"/>
            <w:vAlign w:val="center"/>
            <w:tcMar>
              <w:top w:w="90" w:type="dxa"/>
              <w:left w:w="90" w:type="dxa"/>
              <w:bottom w:w="90" w:type="dxa"/>
              <w:right w:w="90" w:type="dxa"/>
            </w:tcMar>
          </w:tcPr>
          <w:p>
            <w:pPr>
              <w:spacing w:after="0" w:line="240" w:lineRule="auto"/>
              <w:jc w:val="left"/>
            </w:pPr>
            <w:r/>
            <w:r>
              <w:rPr>
                <w:rFonts w:ascii="Times New Roman" w:hAnsi="Times New Roman"/>
                <w:b w:val="0"/>
                <w:sz w:val="20"/>
              </w:rPr>
              <w:t>1,411</w:t>
            </w:r>
          </w:p>
        </w:tc>
        <w:tc>
          <w:tcPr>
            <w:tcW w:type="dxa" w:w="1440"/>
            <w:vAlign w:val="center"/>
            <w:tcMar>
              <w:top w:w="90" w:type="dxa"/>
              <w:left w:w="90" w:type="dxa"/>
              <w:bottom w:w="90" w:type="dxa"/>
              <w:right w:w="90" w:type="dxa"/>
            </w:tcMar>
          </w:tcPr>
          <w:p>
            <w:pPr>
              <w:spacing w:after="0" w:line="240" w:lineRule="auto"/>
              <w:jc w:val="left"/>
            </w:pPr>
            <w:r/>
            <w:r>
              <w:rPr>
                <w:rFonts w:ascii="Times New Roman" w:hAnsi="Times New Roman"/>
                <w:b w:val="0"/>
                <w:sz w:val="20"/>
              </w:rPr>
              <w:t>7,471</w:t>
            </w:r>
          </w:p>
        </w:tc>
        <w:tc>
          <w:tcPr>
            <w:tcW w:type="dxa" w:w="1440"/>
            <w:vAlign w:val="center"/>
            <w:tcMar>
              <w:top w:w="90" w:type="dxa"/>
              <w:left w:w="90" w:type="dxa"/>
              <w:bottom w:w="90" w:type="dxa"/>
              <w:right w:w="90" w:type="dxa"/>
            </w:tcMar>
          </w:tcPr>
          <w:p>
            <w:pPr>
              <w:spacing w:after="0" w:line="240" w:lineRule="auto"/>
              <w:jc w:val="left"/>
            </w:pPr>
            <w:r/>
            <w:r>
              <w:rPr>
                <w:rFonts w:ascii="Times New Roman" w:hAnsi="Times New Roman"/>
                <w:b w:val="0"/>
                <w:sz w:val="20"/>
              </w:rPr>
              <w:t>1,670</w:t>
            </w:r>
          </w:p>
        </w:tc>
      </w:tr>
    </w:tbl>
    <w:p>
      <w:pPr>
        <w:spacing w:after="0"/>
      </w:pPr>
    </w:p>
    <w:p>
      <w:pPr>
        <w:keepNext w:val="0"/>
        <w:spacing w:after="160"/>
        <w:jc w:val="center"/>
      </w:pPr>
      <w:r>
        <w:rPr>
          <w:rFonts w:ascii="Times New Roman" w:hAnsi="Times New Roman"/>
          <w:sz w:val="22"/>
        </w:rPr>
        <w:t>Table 1. Synthetic corpus size; all integrity checks reported zero dangling relations.</w:t>
      </w:r>
    </w:p>
    <w:p>
      <w:pPr>
        <w:keepNext/>
        <w:jc w:val="center"/>
      </w:pPr>
      <w:r>
        <w:drawing>
          <wp:inline xmlns:a="http://schemas.openxmlformats.org/drawingml/2006/main" xmlns:pic="http://schemas.openxmlformats.org/drawingml/2006/picture">
            <wp:extent cx="5715000" cy="2337955"/>
            <wp:docPr id="6" name="Picture 6" title="Fig" descr="Fig. 5. Synthetic relation retention and COOC ablations (120 projects; seed 4971)."/>
            <wp:cNvGraphicFramePr>
              <a:graphicFrameLocks noChangeAspect="1"/>
            </wp:cNvGraphicFramePr>
            <a:graphic>
              <a:graphicData uri="http://schemas.openxmlformats.org/drawingml/2006/picture">
                <pic:pic>
                  <pic:nvPicPr>
                    <pic:cNvPr id="0" name="results.png"/>
                    <pic:cNvPicPr/>
                  </pic:nvPicPr>
                  <pic:blipFill>
                    <a:blip r:embed="rId22"/>
                    <a:stretch>
                      <a:fillRect/>
                    </a:stretch>
                  </pic:blipFill>
                  <pic:spPr>
                    <a:xfrm>
                      <a:off x="0" y="0"/>
                      <a:ext cx="5715000" cy="2337955"/>
                    </a:xfrm>
                    <a:prstGeom prst="rect"/>
                  </pic:spPr>
                </pic:pic>
              </a:graphicData>
            </a:graphic>
          </wp:inline>
        </w:drawing>
      </w:r>
    </w:p>
    <w:p>
      <w:pPr>
        <w:keepNext w:val="0"/>
        <w:spacing w:after="160"/>
        <w:jc w:val="center"/>
      </w:pPr>
      <w:r>
        <w:rPr>
          <w:rFonts w:ascii="Times New Roman" w:hAnsi="Times New Roman"/>
          <w:sz w:val="22"/>
        </w:rPr>
        <w:t>Fig. 5. Synthetic relation retention and COOC ablations (120 projects; seed 4971).</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3024"/>
            <w:vAlign w:val="center"/>
            <w:tcMar>
              <w:top w:w="90" w:type="dxa"/>
              <w:left w:w="90" w:type="dxa"/>
              <w:bottom w:w="90" w:type="dxa"/>
              <w:right w:w="90" w:type="dxa"/>
            </w:tcMar>
            <w:shd w:fill="D9EAF7"/>
          </w:tcPr>
          <w:p>
            <w:pPr>
              <w:spacing w:after="0" w:line="240" w:lineRule="auto"/>
              <w:jc w:val="center"/>
            </w:pPr>
            <w:r/>
            <w:r>
              <w:rPr>
                <w:rFonts w:ascii="Times New Roman" w:hAnsi="Times New Roman"/>
                <w:b/>
                <w:sz w:val="20"/>
              </w:rPr>
              <w:t>Representation</w:t>
            </w:r>
          </w:p>
        </w:tc>
        <w:tc>
          <w:tcPr>
            <w:tcW w:type="dxa" w:w="2448"/>
            <w:vAlign w:val="center"/>
            <w:tcMar>
              <w:top w:w="90" w:type="dxa"/>
              <w:left w:w="90" w:type="dxa"/>
              <w:bottom w:w="90" w:type="dxa"/>
              <w:right w:w="90" w:type="dxa"/>
            </w:tcMar>
            <w:shd w:fill="D9EAF7"/>
          </w:tcPr>
          <w:p>
            <w:pPr>
              <w:spacing w:after="0" w:line="240" w:lineRule="auto"/>
              <w:jc w:val="center"/>
            </w:pPr>
            <w:r/>
            <w:r>
              <w:rPr>
                <w:rFonts w:ascii="Times New Roman" w:hAnsi="Times New Roman"/>
                <w:b/>
                <w:sz w:val="20"/>
              </w:rPr>
              <w:t>E2O retained</w:t>
            </w:r>
          </w:p>
        </w:tc>
        <w:tc>
          <w:tcPr>
            <w:tcW w:type="dxa" w:w="3528"/>
            <w:vAlign w:val="center"/>
            <w:tcMar>
              <w:top w:w="90" w:type="dxa"/>
              <w:left w:w="90" w:type="dxa"/>
              <w:bottom w:w="90" w:type="dxa"/>
              <w:right w:w="90" w:type="dxa"/>
            </w:tcMar>
            <w:shd w:fill="D9EAF7"/>
          </w:tcPr>
          <w:p>
            <w:pPr>
              <w:spacing w:after="0" w:line="240" w:lineRule="auto"/>
              <w:jc w:val="center"/>
            </w:pPr>
            <w:r/>
            <w:r>
              <w:rPr>
                <w:rFonts w:ascii="Times New Roman" w:hAnsi="Times New Roman"/>
                <w:b/>
                <w:sz w:val="20"/>
              </w:rPr>
              <w:t>Risk predicates preserved</w:t>
            </w:r>
          </w:p>
        </w:tc>
      </w:tr>
      <w:tr>
        <w:tc>
          <w:tcPr>
            <w:tcW w:type="dxa" w:w="3024"/>
            <w:vAlign w:val="center"/>
            <w:tcMar>
              <w:top w:w="90" w:type="dxa"/>
              <w:left w:w="90" w:type="dxa"/>
              <w:bottom w:w="90" w:type="dxa"/>
              <w:right w:w="90" w:type="dxa"/>
            </w:tcMar>
          </w:tcPr>
          <w:p>
            <w:pPr>
              <w:spacing w:after="0" w:line="240" w:lineRule="auto"/>
              <w:jc w:val="left"/>
            </w:pPr>
            <w:r/>
            <w:r>
              <w:rPr>
                <w:rFonts w:ascii="Times New Roman" w:hAnsi="Times New Roman"/>
                <w:b w:val="0"/>
                <w:sz w:val="20"/>
              </w:rPr>
              <w:t>Project flat</w:t>
            </w:r>
          </w:p>
        </w:tc>
        <w:tc>
          <w:tcPr>
            <w:tcW w:type="dxa" w:w="2448"/>
            <w:vAlign w:val="center"/>
            <w:tcMar>
              <w:top w:w="90" w:type="dxa"/>
              <w:left w:w="90" w:type="dxa"/>
              <w:bottom w:w="90" w:type="dxa"/>
              <w:right w:w="90" w:type="dxa"/>
            </w:tcMar>
          </w:tcPr>
          <w:p>
            <w:pPr>
              <w:spacing w:after="0" w:line="240" w:lineRule="auto"/>
              <w:jc w:val="left"/>
            </w:pPr>
            <w:r/>
            <w:r>
              <w:rPr>
                <w:rFonts w:ascii="Times New Roman" w:hAnsi="Times New Roman"/>
                <w:b w:val="0"/>
                <w:sz w:val="20"/>
              </w:rPr>
              <w:t>27.9%</w:t>
            </w:r>
          </w:p>
        </w:tc>
        <w:tc>
          <w:tcPr>
            <w:tcW w:type="dxa" w:w="3528"/>
            <w:vAlign w:val="center"/>
            <w:tcMar>
              <w:top w:w="90" w:type="dxa"/>
              <w:left w:w="90" w:type="dxa"/>
              <w:bottom w:w="90" w:type="dxa"/>
              <w:right w:w="90" w:type="dxa"/>
            </w:tcMar>
          </w:tcPr>
          <w:p>
            <w:pPr>
              <w:spacing w:after="0" w:line="240" w:lineRule="auto"/>
              <w:jc w:val="left"/>
            </w:pPr>
            <w:r/>
            <w:r>
              <w:rPr>
                <w:rFonts w:ascii="Times New Roman" w:hAnsi="Times New Roman"/>
                <w:b w:val="0"/>
                <w:sz w:val="20"/>
              </w:rPr>
              <w:t>2/6 (33.3%)</w:t>
            </w:r>
          </w:p>
        </w:tc>
      </w:tr>
      <w:tr>
        <w:tc>
          <w:tcPr>
            <w:tcW w:type="dxa" w:w="3024"/>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20"/>
              </w:rPr>
              <w:t>Student flat</w:t>
            </w:r>
          </w:p>
        </w:tc>
        <w:tc>
          <w:tcPr>
            <w:tcW w:type="dxa" w:w="2448"/>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20"/>
              </w:rPr>
              <w:t>19.8%</w:t>
            </w:r>
          </w:p>
        </w:tc>
        <w:tc>
          <w:tcPr>
            <w:tcW w:type="dxa" w:w="3528"/>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20"/>
              </w:rPr>
              <w:t>1/6 (16.7%)</w:t>
            </w:r>
          </w:p>
        </w:tc>
      </w:tr>
      <w:tr>
        <w:tc>
          <w:tcPr>
            <w:tcW w:type="dxa" w:w="3024"/>
            <w:vAlign w:val="center"/>
            <w:tcMar>
              <w:top w:w="90" w:type="dxa"/>
              <w:left w:w="90" w:type="dxa"/>
              <w:bottom w:w="90" w:type="dxa"/>
              <w:right w:w="90" w:type="dxa"/>
            </w:tcMar>
          </w:tcPr>
          <w:p>
            <w:pPr>
              <w:spacing w:after="0" w:line="240" w:lineRule="auto"/>
              <w:jc w:val="left"/>
            </w:pPr>
            <w:r/>
            <w:r>
              <w:rPr>
                <w:rFonts w:ascii="Times New Roman" w:hAnsi="Times New Roman"/>
                <w:b w:val="0"/>
                <w:sz w:val="20"/>
              </w:rPr>
              <w:t>ReportVersion flat</w:t>
            </w:r>
          </w:p>
        </w:tc>
        <w:tc>
          <w:tcPr>
            <w:tcW w:type="dxa" w:w="2448"/>
            <w:vAlign w:val="center"/>
            <w:tcMar>
              <w:top w:w="90" w:type="dxa"/>
              <w:left w:w="90" w:type="dxa"/>
              <w:bottom w:w="90" w:type="dxa"/>
              <w:right w:w="90" w:type="dxa"/>
            </w:tcMar>
          </w:tcPr>
          <w:p>
            <w:pPr>
              <w:spacing w:after="0" w:line="240" w:lineRule="auto"/>
              <w:jc w:val="left"/>
            </w:pPr>
            <w:r/>
            <w:r>
              <w:rPr>
                <w:rFonts w:ascii="Times New Roman" w:hAnsi="Times New Roman"/>
                <w:b w:val="0"/>
                <w:sz w:val="20"/>
              </w:rPr>
              <w:t>26.3%</w:t>
            </w:r>
          </w:p>
        </w:tc>
        <w:tc>
          <w:tcPr>
            <w:tcW w:type="dxa" w:w="3528"/>
            <w:vAlign w:val="center"/>
            <w:tcMar>
              <w:top w:w="90" w:type="dxa"/>
              <w:left w:w="90" w:type="dxa"/>
              <w:bottom w:w="90" w:type="dxa"/>
              <w:right w:w="90" w:type="dxa"/>
            </w:tcMar>
          </w:tcPr>
          <w:p>
            <w:pPr>
              <w:spacing w:after="0" w:line="240" w:lineRule="auto"/>
              <w:jc w:val="left"/>
            </w:pPr>
            <w:r/>
            <w:r>
              <w:rPr>
                <w:rFonts w:ascii="Times New Roman" w:hAnsi="Times New Roman"/>
                <w:b w:val="0"/>
                <w:sz w:val="20"/>
              </w:rPr>
              <w:t>3/6 (50.0%)</w:t>
            </w:r>
          </w:p>
        </w:tc>
      </w:tr>
      <w:tr>
        <w:tc>
          <w:tcPr>
            <w:tcW w:type="dxa" w:w="3024"/>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20"/>
              </w:rPr>
              <w:t>OCEL 2.0</w:t>
            </w:r>
          </w:p>
        </w:tc>
        <w:tc>
          <w:tcPr>
            <w:tcW w:type="dxa" w:w="2448"/>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20"/>
              </w:rPr>
              <w:t>100.0%</w:t>
            </w:r>
          </w:p>
        </w:tc>
        <w:tc>
          <w:tcPr>
            <w:tcW w:type="dxa" w:w="3528"/>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20"/>
              </w:rPr>
              <w:t>6/6 (100.0%)</w:t>
            </w:r>
          </w:p>
        </w:tc>
      </w:tr>
    </w:tbl>
    <w:p>
      <w:pPr>
        <w:spacing w:after="0"/>
      </w:pPr>
    </w:p>
    <w:p>
      <w:pPr>
        <w:keepNext w:val="0"/>
        <w:spacing w:after="160"/>
        <w:jc w:val="center"/>
      </w:pPr>
      <w:r>
        <w:rPr>
          <w:rFonts w:ascii="Times New Roman" w:hAnsi="Times New Roman"/>
          <w:sz w:val="22"/>
        </w:rPr>
        <w:t>Table 2. Representation-preservation results; COOC is specific to the six preregistered predicates.</w:t>
      </w:r>
    </w:p>
    <w:tbl>
      <w:tblPr>
        <w:tblStyle w:val="TableGrid"/>
        <w:tblW w:type="auto" w:w="0"/>
        <w:jc w:val="center"/>
        <w:tblLayout w:type="fixed"/>
        <w:tblLook w:firstColumn="1" w:firstRow="1" w:lastColumn="0" w:lastRow="0" w:noHBand="0" w:noVBand="1" w:val="04A0"/>
      </w:tblPr>
      <w:tblGrid>
        <w:gridCol w:w="4514"/>
        <w:gridCol w:w="4514"/>
      </w:tblGrid>
      <w:tr>
        <w:trPr>
          <w:tblHeader w:val="true"/>
        </w:trPr>
        <w:tc>
          <w:tcPr>
            <w:tcW w:type="dxa" w:w="4608"/>
            <w:vAlign w:val="center"/>
            <w:tcMar>
              <w:top w:w="90" w:type="dxa"/>
              <w:left w:w="90" w:type="dxa"/>
              <w:bottom w:w="90" w:type="dxa"/>
              <w:right w:w="90" w:type="dxa"/>
            </w:tcMar>
            <w:shd w:fill="D9EAF7"/>
          </w:tcPr>
          <w:p>
            <w:pPr>
              <w:spacing w:after="0" w:line="240" w:lineRule="auto"/>
              <w:jc w:val="center"/>
            </w:pPr>
            <w:r/>
            <w:r>
              <w:rPr>
                <w:rFonts w:ascii="Times New Roman" w:hAnsi="Times New Roman"/>
                <w:b/>
                <w:sz w:val="20"/>
              </w:rPr>
              <w:t>Documented risk</w:t>
            </w:r>
          </w:p>
        </w:tc>
        <w:tc>
          <w:tcPr>
            <w:tcW w:type="dxa" w:w="1728"/>
            <w:vAlign w:val="center"/>
            <w:tcMar>
              <w:top w:w="90" w:type="dxa"/>
              <w:left w:w="90" w:type="dxa"/>
              <w:bottom w:w="90" w:type="dxa"/>
              <w:right w:w="90" w:type="dxa"/>
            </w:tcMar>
            <w:shd w:fill="D9EAF7"/>
          </w:tcPr>
          <w:p>
            <w:pPr>
              <w:spacing w:after="0" w:line="240" w:lineRule="auto"/>
              <w:jc w:val="center"/>
            </w:pPr>
            <w:r/>
            <w:r>
              <w:rPr>
                <w:rFonts w:ascii="Times New Roman" w:hAnsi="Times New Roman"/>
                <w:b/>
                <w:sz w:val="20"/>
              </w:rPr>
              <w:t>F1</w:t>
            </w:r>
          </w:p>
        </w:tc>
      </w:tr>
      <w:tr>
        <w:tc>
          <w:tcPr>
            <w:tcW w:type="dxa" w:w="4608"/>
            <w:vAlign w:val="center"/>
            <w:tcMar>
              <w:top w:w="90" w:type="dxa"/>
              <w:left w:w="90" w:type="dxa"/>
              <w:bottom w:w="90" w:type="dxa"/>
              <w:right w:w="90" w:type="dxa"/>
            </w:tcMar>
          </w:tcPr>
          <w:p>
            <w:pPr>
              <w:spacing w:after="0" w:line="240" w:lineRule="auto"/>
              <w:jc w:val="left"/>
            </w:pPr>
            <w:r/>
            <w:r>
              <w:rPr>
                <w:rFonts w:ascii="Times New Roman" w:hAnsi="Times New Roman"/>
                <w:b w:val="0"/>
                <w:sz w:val="20"/>
              </w:rPr>
              <w:t>E10</w:t>
            </w:r>
          </w:p>
        </w:tc>
        <w:tc>
          <w:tcPr>
            <w:tcW w:type="dxa" w:w="1728"/>
            <w:vAlign w:val="center"/>
            <w:tcMar>
              <w:top w:w="90" w:type="dxa"/>
              <w:left w:w="90" w:type="dxa"/>
              <w:bottom w:w="90" w:type="dxa"/>
              <w:right w:w="90" w:type="dxa"/>
            </w:tcMar>
          </w:tcPr>
          <w:p>
            <w:pPr>
              <w:spacing w:after="0" w:line="240" w:lineRule="auto"/>
              <w:jc w:val="left"/>
            </w:pPr>
            <w:r/>
            <w:r>
              <w:rPr>
                <w:rFonts w:ascii="Times New Roman" w:hAnsi="Times New Roman"/>
                <w:b w:val="0"/>
                <w:sz w:val="20"/>
              </w:rPr>
              <w:t>1.000</w:t>
            </w:r>
          </w:p>
        </w:tc>
      </w:tr>
      <w:tr>
        <w:tc>
          <w:tcPr>
            <w:tcW w:type="dxa" w:w="4608"/>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20"/>
              </w:rPr>
              <w:t>E12</w:t>
            </w:r>
          </w:p>
        </w:tc>
        <w:tc>
          <w:tcPr>
            <w:tcW w:type="dxa" w:w="1728"/>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20"/>
              </w:rPr>
              <w:t>0.909</w:t>
            </w:r>
          </w:p>
        </w:tc>
      </w:tr>
      <w:tr>
        <w:tc>
          <w:tcPr>
            <w:tcW w:type="dxa" w:w="4608"/>
            <w:vAlign w:val="center"/>
            <w:tcMar>
              <w:top w:w="90" w:type="dxa"/>
              <w:left w:w="90" w:type="dxa"/>
              <w:bottom w:w="90" w:type="dxa"/>
              <w:right w:w="90" w:type="dxa"/>
            </w:tcMar>
          </w:tcPr>
          <w:p>
            <w:pPr>
              <w:spacing w:after="0" w:line="240" w:lineRule="auto"/>
              <w:jc w:val="left"/>
            </w:pPr>
            <w:r/>
            <w:r>
              <w:rPr>
                <w:rFonts w:ascii="Times New Roman" w:hAnsi="Times New Roman"/>
                <w:b w:val="0"/>
                <w:sz w:val="20"/>
              </w:rPr>
              <w:t>E15</w:t>
            </w:r>
          </w:p>
        </w:tc>
        <w:tc>
          <w:tcPr>
            <w:tcW w:type="dxa" w:w="1728"/>
            <w:vAlign w:val="center"/>
            <w:tcMar>
              <w:top w:w="90" w:type="dxa"/>
              <w:left w:w="90" w:type="dxa"/>
              <w:bottom w:w="90" w:type="dxa"/>
              <w:right w:w="90" w:type="dxa"/>
            </w:tcMar>
          </w:tcPr>
          <w:p>
            <w:pPr>
              <w:spacing w:after="0" w:line="240" w:lineRule="auto"/>
              <w:jc w:val="left"/>
            </w:pPr>
            <w:r/>
            <w:r>
              <w:rPr>
                <w:rFonts w:ascii="Times New Roman" w:hAnsi="Times New Roman"/>
                <w:b w:val="0"/>
                <w:sz w:val="20"/>
              </w:rPr>
              <w:t>1.000</w:t>
            </w:r>
          </w:p>
        </w:tc>
      </w:tr>
      <w:tr>
        <w:tc>
          <w:tcPr>
            <w:tcW w:type="dxa" w:w="4608"/>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20"/>
              </w:rPr>
              <w:t>E5</w:t>
            </w:r>
          </w:p>
        </w:tc>
        <w:tc>
          <w:tcPr>
            <w:tcW w:type="dxa" w:w="1728"/>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20"/>
              </w:rPr>
              <w:t>1.000</w:t>
            </w:r>
          </w:p>
        </w:tc>
      </w:tr>
      <w:tr>
        <w:tc>
          <w:tcPr>
            <w:tcW w:type="dxa" w:w="4608"/>
            <w:vAlign w:val="center"/>
            <w:tcMar>
              <w:top w:w="90" w:type="dxa"/>
              <w:left w:w="90" w:type="dxa"/>
              <w:bottom w:w="90" w:type="dxa"/>
              <w:right w:w="90" w:type="dxa"/>
            </w:tcMar>
          </w:tcPr>
          <w:p>
            <w:pPr>
              <w:spacing w:after="0" w:line="240" w:lineRule="auto"/>
              <w:jc w:val="left"/>
            </w:pPr>
            <w:r/>
            <w:r>
              <w:rPr>
                <w:rFonts w:ascii="Times New Roman" w:hAnsi="Times New Roman"/>
                <w:b w:val="0"/>
                <w:sz w:val="20"/>
              </w:rPr>
              <w:t>G5</w:t>
            </w:r>
          </w:p>
        </w:tc>
        <w:tc>
          <w:tcPr>
            <w:tcW w:type="dxa" w:w="1728"/>
            <w:vAlign w:val="center"/>
            <w:tcMar>
              <w:top w:w="90" w:type="dxa"/>
              <w:left w:w="90" w:type="dxa"/>
              <w:bottom w:w="90" w:type="dxa"/>
              <w:right w:w="90" w:type="dxa"/>
            </w:tcMar>
          </w:tcPr>
          <w:p>
            <w:pPr>
              <w:spacing w:after="0" w:line="240" w:lineRule="auto"/>
              <w:jc w:val="left"/>
            </w:pPr>
            <w:r/>
            <w:r>
              <w:rPr>
                <w:rFonts w:ascii="Times New Roman" w:hAnsi="Times New Roman"/>
                <w:b w:val="0"/>
                <w:sz w:val="20"/>
              </w:rPr>
              <w:t>0.952</w:t>
            </w:r>
          </w:p>
        </w:tc>
      </w:tr>
      <w:tr>
        <w:tc>
          <w:tcPr>
            <w:tcW w:type="dxa" w:w="4608"/>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20"/>
              </w:rPr>
              <w:t>G9</w:t>
            </w:r>
          </w:p>
        </w:tc>
        <w:tc>
          <w:tcPr>
            <w:tcW w:type="dxa" w:w="1728"/>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20"/>
              </w:rPr>
              <w:t>1.000</w:t>
            </w:r>
          </w:p>
        </w:tc>
      </w:tr>
      <w:tr>
        <w:tc>
          <w:tcPr>
            <w:tcW w:type="dxa" w:w="4608"/>
            <w:vAlign w:val="center"/>
            <w:tcMar>
              <w:top w:w="90" w:type="dxa"/>
              <w:left w:w="90" w:type="dxa"/>
              <w:bottom w:w="90" w:type="dxa"/>
              <w:right w:w="90" w:type="dxa"/>
            </w:tcMar>
          </w:tcPr>
          <w:p>
            <w:pPr>
              <w:spacing w:after="0" w:line="240" w:lineRule="auto"/>
              <w:jc w:val="left"/>
            </w:pPr>
            <w:r/>
            <w:r>
              <w:rPr>
                <w:rFonts w:ascii="Times New Roman" w:hAnsi="Times New Roman"/>
                <w:b w:val="0"/>
                <w:sz w:val="20"/>
              </w:rPr>
              <w:t>Macro</w:t>
            </w:r>
          </w:p>
        </w:tc>
        <w:tc>
          <w:tcPr>
            <w:tcW w:type="dxa" w:w="1728"/>
            <w:vAlign w:val="center"/>
            <w:tcMar>
              <w:top w:w="90" w:type="dxa"/>
              <w:left w:w="90" w:type="dxa"/>
              <w:bottom w:w="90" w:type="dxa"/>
              <w:right w:w="90" w:type="dxa"/>
            </w:tcMar>
          </w:tcPr>
          <w:p>
            <w:pPr>
              <w:spacing w:after="0" w:line="240" w:lineRule="auto"/>
              <w:jc w:val="left"/>
            </w:pPr>
            <w:r/>
            <w:r>
              <w:rPr>
                <w:rFonts w:ascii="Times New Roman" w:hAnsi="Times New Roman"/>
                <w:b w:val="0"/>
                <w:sz w:val="20"/>
              </w:rPr>
              <w:t>0.977</w:t>
            </w:r>
          </w:p>
        </w:tc>
      </w:tr>
    </w:tbl>
    <w:p>
      <w:pPr>
        <w:spacing w:after="0"/>
      </w:pPr>
    </w:p>
    <w:p>
      <w:pPr>
        <w:keepNext w:val="0"/>
        <w:spacing w:after="160"/>
        <w:jc w:val="center"/>
      </w:pPr>
      <w:r>
        <w:rPr>
          <w:rFonts w:ascii="Times New Roman" w:hAnsi="Times New Roman"/>
          <w:sz w:val="22"/>
        </w:rPr>
        <w:t>Table 3. Rule-detector performance on controlled injected conditions.</w:t>
      </w:r>
    </w:p>
    <w:p>
      <w:pPr>
        <w:spacing w:line="276" w:lineRule="auto" w:after="120"/>
        <w:ind w:firstLine="432"/>
        <w:jc w:val="both"/>
      </w:pPr>
      <w:r>
        <w:rPr>
          <w:rFonts w:ascii="Times New Roman" w:hAnsi="Times New Roman"/>
          <w:sz w:val="24"/>
        </w:rPr>
        <w:t>The first-order Markov baseline obtained top-1 accuracy 0.912, top-2 accuracy 0.986, macro-F1 0.673 and log loss 0.276 over 283 grouped test transitions. The difference between high top-1 accuracy and lower macro-F1 indicates class imbalance and motivates per-transition reporting and stronger object-aware baselines.</w:t>
      </w:r>
    </w:p>
    <w:tbl>
      <w:tblPr>
        <w:tblStyle w:val="TableGrid"/>
        <w:tblW w:type="auto" w:w="0"/>
        <w:jc w:val="center"/>
        <w:tblLayout w:type="fixed"/>
        <w:tblLook w:firstColumn="1" w:firstRow="1" w:lastColumn="0" w:lastRow="0" w:noHBand="0" w:noVBand="1" w:val="04A0"/>
      </w:tblPr>
      <w:tblGrid>
        <w:gridCol w:w="1806"/>
        <w:gridCol w:w="1806"/>
        <w:gridCol w:w="1806"/>
        <w:gridCol w:w="1806"/>
        <w:gridCol w:w="1806"/>
      </w:tblGrid>
      <w:tr>
        <w:trPr>
          <w:tblHeader w:val="true"/>
        </w:trPr>
        <w:tc>
          <w:tcPr>
            <w:tcW w:type="dxa" w:w="2304"/>
            <w:vAlign w:val="center"/>
            <w:tcMar>
              <w:top w:w="90" w:type="dxa"/>
              <w:left w:w="90" w:type="dxa"/>
              <w:bottom w:w="90" w:type="dxa"/>
              <w:right w:w="90" w:type="dxa"/>
            </w:tcMar>
            <w:shd w:fill="D9EAF7"/>
          </w:tcPr>
          <w:p>
            <w:pPr>
              <w:spacing w:after="0" w:line="240" w:lineRule="auto"/>
              <w:jc w:val="center"/>
            </w:pPr>
            <w:r/>
            <w:r>
              <w:rPr>
                <w:rFonts w:ascii="Times New Roman" w:hAnsi="Times New Roman"/>
                <w:b/>
                <w:sz w:val="19"/>
              </w:rPr>
              <w:t>Offline policy</w:t>
            </w:r>
          </w:p>
        </w:tc>
        <w:tc>
          <w:tcPr>
            <w:tcW w:type="dxa" w:w="1584"/>
            <w:vAlign w:val="center"/>
            <w:tcMar>
              <w:top w:w="90" w:type="dxa"/>
              <w:left w:w="90" w:type="dxa"/>
              <w:bottom w:w="90" w:type="dxa"/>
              <w:right w:w="90" w:type="dxa"/>
            </w:tcMar>
            <w:shd w:fill="D9EAF7"/>
          </w:tcPr>
          <w:p>
            <w:pPr>
              <w:spacing w:after="0" w:line="240" w:lineRule="auto"/>
              <w:jc w:val="center"/>
            </w:pPr>
            <w:r/>
            <w:r>
              <w:rPr>
                <w:rFonts w:ascii="Times New Roman" w:hAnsi="Times New Roman"/>
                <w:b/>
                <w:sz w:val="19"/>
              </w:rPr>
              <w:t>Deadlock</w:t>
            </w:r>
          </w:p>
        </w:tc>
        <w:tc>
          <w:tcPr>
            <w:tcW w:type="dxa" w:w="1656"/>
            <w:vAlign w:val="center"/>
            <w:tcMar>
              <w:top w:w="90" w:type="dxa"/>
              <w:left w:w="90" w:type="dxa"/>
              <w:bottom w:w="90" w:type="dxa"/>
              <w:right w:w="90" w:type="dxa"/>
            </w:tcMar>
            <w:shd w:fill="D9EAF7"/>
          </w:tcPr>
          <w:p>
            <w:pPr>
              <w:spacing w:after="0" w:line="240" w:lineRule="auto"/>
              <w:jc w:val="center"/>
            </w:pPr>
            <w:r/>
            <w:r>
              <w:rPr>
                <w:rFonts w:ascii="Times New Roman" w:hAnsi="Times New Roman"/>
                <w:b/>
                <w:sz w:val="19"/>
              </w:rPr>
              <w:t>Capacity fail</w:t>
            </w:r>
          </w:p>
        </w:tc>
        <w:tc>
          <w:tcPr>
            <w:tcW w:type="dxa" w:w="1656"/>
            <w:vAlign w:val="center"/>
            <w:tcMar>
              <w:top w:w="90" w:type="dxa"/>
              <w:left w:w="90" w:type="dxa"/>
              <w:bottom w:w="90" w:type="dxa"/>
              <w:right w:w="90" w:type="dxa"/>
            </w:tcMar>
            <w:shd w:fill="D9EAF7"/>
          </w:tcPr>
          <w:p>
            <w:pPr>
              <w:spacing w:after="0" w:line="240" w:lineRule="auto"/>
              <w:jc w:val="center"/>
            </w:pPr>
            <w:r/>
            <w:r>
              <w:rPr>
                <w:rFonts w:ascii="Times New Roman" w:hAnsi="Times New Roman"/>
                <w:b/>
                <w:sz w:val="19"/>
              </w:rPr>
              <w:t>Completion</w:t>
            </w:r>
          </w:p>
        </w:tc>
        <w:tc>
          <w:tcPr>
            <w:tcW w:type="dxa" w:w="1656"/>
            <w:vAlign w:val="center"/>
            <w:tcMar>
              <w:top w:w="90" w:type="dxa"/>
              <w:left w:w="90" w:type="dxa"/>
              <w:bottom w:w="90" w:type="dxa"/>
              <w:right w:w="90" w:type="dxa"/>
            </w:tcMar>
            <w:shd w:fill="D9EAF7"/>
          </w:tcPr>
          <w:p>
            <w:pPr>
              <w:spacing w:after="0" w:line="240" w:lineRule="auto"/>
              <w:jc w:val="center"/>
            </w:pPr>
            <w:r/>
            <w:r>
              <w:rPr>
                <w:rFonts w:ascii="Times New Roman" w:hAnsi="Times New Roman"/>
                <w:b/>
                <w:sz w:val="19"/>
              </w:rPr>
              <w:t>Median wait</w:t>
            </w:r>
          </w:p>
        </w:tc>
      </w:tr>
      <w:tr>
        <w:tc>
          <w:tcPr>
            <w:tcW w:type="dxa" w:w="2304"/>
            <w:vAlign w:val="center"/>
            <w:tcMar>
              <w:top w:w="90" w:type="dxa"/>
              <w:left w:w="90" w:type="dxa"/>
              <w:bottom w:w="90" w:type="dxa"/>
              <w:right w:w="90" w:type="dxa"/>
            </w:tcMar>
          </w:tcPr>
          <w:p>
            <w:pPr>
              <w:spacing w:after="0" w:line="240" w:lineRule="auto"/>
              <w:jc w:val="left"/>
            </w:pPr>
            <w:r/>
            <w:r>
              <w:rPr>
                <w:rFonts w:ascii="Times New Roman" w:hAnsi="Times New Roman"/>
                <w:b w:val="0"/>
                <w:sz w:val="19"/>
              </w:rPr>
              <w:t>Baseline</w:t>
            </w:r>
          </w:p>
        </w:tc>
        <w:tc>
          <w:tcPr>
            <w:tcW w:type="dxa" w:w="1584"/>
            <w:vAlign w:val="center"/>
            <w:tcMar>
              <w:top w:w="90" w:type="dxa"/>
              <w:left w:w="90" w:type="dxa"/>
              <w:bottom w:w="90" w:type="dxa"/>
              <w:right w:w="90" w:type="dxa"/>
            </w:tcMar>
          </w:tcPr>
          <w:p>
            <w:pPr>
              <w:spacing w:after="0" w:line="240" w:lineRule="auto"/>
              <w:jc w:val="left"/>
            </w:pPr>
            <w:r/>
            <w:r>
              <w:rPr>
                <w:rFonts w:ascii="Times New Roman" w:hAnsi="Times New Roman"/>
                <w:b w:val="0"/>
                <w:sz w:val="19"/>
              </w:rPr>
              <w:t>11.2%</w:t>
            </w:r>
          </w:p>
        </w:tc>
        <w:tc>
          <w:tcPr>
            <w:tcW w:type="dxa" w:w="1656"/>
            <w:vAlign w:val="center"/>
            <w:tcMar>
              <w:top w:w="90" w:type="dxa"/>
              <w:left w:w="90" w:type="dxa"/>
              <w:bottom w:w="90" w:type="dxa"/>
              <w:right w:w="90" w:type="dxa"/>
            </w:tcMar>
          </w:tcPr>
          <w:p>
            <w:pPr>
              <w:spacing w:after="0" w:line="240" w:lineRule="auto"/>
              <w:jc w:val="left"/>
            </w:pPr>
            <w:r/>
            <w:r>
              <w:rPr>
                <w:rFonts w:ascii="Times New Roman" w:hAnsi="Times New Roman"/>
                <w:b w:val="0"/>
                <w:sz w:val="19"/>
              </w:rPr>
              <w:t>11.8%</w:t>
            </w:r>
          </w:p>
        </w:tc>
        <w:tc>
          <w:tcPr>
            <w:tcW w:type="dxa" w:w="1656"/>
            <w:vAlign w:val="center"/>
            <w:tcMar>
              <w:top w:w="90" w:type="dxa"/>
              <w:left w:w="90" w:type="dxa"/>
              <w:bottom w:w="90" w:type="dxa"/>
              <w:right w:w="90" w:type="dxa"/>
            </w:tcMar>
          </w:tcPr>
          <w:p>
            <w:pPr>
              <w:spacing w:after="0" w:line="240" w:lineRule="auto"/>
              <w:jc w:val="left"/>
            </w:pPr>
            <w:r/>
            <w:r>
              <w:rPr>
                <w:rFonts w:ascii="Times New Roman" w:hAnsi="Times New Roman"/>
                <w:b w:val="0"/>
                <w:sz w:val="19"/>
              </w:rPr>
              <w:t>74.5%</w:t>
            </w:r>
          </w:p>
        </w:tc>
        <w:tc>
          <w:tcPr>
            <w:tcW w:type="dxa" w:w="1656"/>
            <w:vAlign w:val="center"/>
            <w:tcMar>
              <w:top w:w="90" w:type="dxa"/>
              <w:left w:w="90" w:type="dxa"/>
              <w:bottom w:w="90" w:type="dxa"/>
              <w:right w:w="90" w:type="dxa"/>
            </w:tcMar>
          </w:tcPr>
          <w:p>
            <w:pPr>
              <w:spacing w:after="0" w:line="240" w:lineRule="auto"/>
              <w:jc w:val="left"/>
            </w:pPr>
            <w:r/>
            <w:r>
              <w:rPr>
                <w:rFonts w:ascii="Times New Roman" w:hAnsi="Times New Roman"/>
                <w:b w:val="0"/>
                <w:sz w:val="19"/>
              </w:rPr>
              <w:t>36.2 h</w:t>
            </w:r>
          </w:p>
        </w:tc>
      </w:tr>
      <w:tr>
        <w:tc>
          <w:tcPr>
            <w:tcW w:type="dxa" w:w="2304"/>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9"/>
              </w:rPr>
              <w:t>Attempt escape</w:t>
            </w:r>
          </w:p>
        </w:tc>
        <w:tc>
          <w:tcPr>
            <w:tcW w:type="dxa" w:w="1584"/>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9"/>
              </w:rPr>
              <w:t>2.2%</w:t>
            </w:r>
          </w:p>
        </w:tc>
        <w:tc>
          <w:tcPr>
            <w:tcW w:type="dxa" w:w="1656"/>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9"/>
              </w:rPr>
              <w:t>10.9%</w:t>
            </w:r>
          </w:p>
        </w:tc>
        <w:tc>
          <w:tcPr>
            <w:tcW w:type="dxa" w:w="1656"/>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9"/>
              </w:rPr>
              <w:t>84.9%</w:t>
            </w:r>
          </w:p>
        </w:tc>
        <w:tc>
          <w:tcPr>
            <w:tcW w:type="dxa" w:w="1656"/>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9"/>
              </w:rPr>
              <w:t>36.9 h</w:t>
            </w:r>
          </w:p>
        </w:tc>
      </w:tr>
      <w:tr>
        <w:tc>
          <w:tcPr>
            <w:tcW w:type="dxa" w:w="2304"/>
            <w:vAlign w:val="center"/>
            <w:tcMar>
              <w:top w:w="90" w:type="dxa"/>
              <w:left w:w="90" w:type="dxa"/>
              <w:bottom w:w="90" w:type="dxa"/>
              <w:right w:w="90" w:type="dxa"/>
            </w:tcMar>
          </w:tcPr>
          <w:p>
            <w:pPr>
              <w:spacing w:after="0" w:line="240" w:lineRule="auto"/>
              <w:jc w:val="left"/>
            </w:pPr>
            <w:r/>
            <w:r>
              <w:rPr>
                <w:rFonts w:ascii="Times New Roman" w:hAnsi="Times New Roman"/>
                <w:b w:val="0"/>
                <w:sz w:val="19"/>
              </w:rPr>
              <w:t>Capacity reallocation</w:t>
            </w:r>
          </w:p>
        </w:tc>
        <w:tc>
          <w:tcPr>
            <w:tcW w:type="dxa" w:w="1584"/>
            <w:vAlign w:val="center"/>
            <w:tcMar>
              <w:top w:w="90" w:type="dxa"/>
              <w:left w:w="90" w:type="dxa"/>
              <w:bottom w:w="90" w:type="dxa"/>
              <w:right w:w="90" w:type="dxa"/>
            </w:tcMar>
          </w:tcPr>
          <w:p>
            <w:pPr>
              <w:spacing w:after="0" w:line="240" w:lineRule="auto"/>
              <w:jc w:val="left"/>
            </w:pPr>
            <w:r/>
            <w:r>
              <w:rPr>
                <w:rFonts w:ascii="Times New Roman" w:hAnsi="Times New Roman"/>
                <w:b w:val="0"/>
                <w:sz w:val="19"/>
              </w:rPr>
              <w:t>10.8%</w:t>
            </w:r>
          </w:p>
        </w:tc>
        <w:tc>
          <w:tcPr>
            <w:tcW w:type="dxa" w:w="1656"/>
            <w:vAlign w:val="center"/>
            <w:tcMar>
              <w:top w:w="90" w:type="dxa"/>
              <w:left w:w="90" w:type="dxa"/>
              <w:bottom w:w="90" w:type="dxa"/>
              <w:right w:w="90" w:type="dxa"/>
            </w:tcMar>
          </w:tcPr>
          <w:p>
            <w:pPr>
              <w:spacing w:after="0" w:line="240" w:lineRule="auto"/>
              <w:jc w:val="left"/>
            </w:pPr>
            <w:r/>
            <w:r>
              <w:rPr>
                <w:rFonts w:ascii="Times New Roman" w:hAnsi="Times New Roman"/>
                <w:b w:val="0"/>
                <w:sz w:val="19"/>
              </w:rPr>
              <w:t>2.6%</w:t>
            </w:r>
          </w:p>
        </w:tc>
        <w:tc>
          <w:tcPr>
            <w:tcW w:type="dxa" w:w="1656"/>
            <w:vAlign w:val="center"/>
            <w:tcMar>
              <w:top w:w="90" w:type="dxa"/>
              <w:left w:w="90" w:type="dxa"/>
              <w:bottom w:w="90" w:type="dxa"/>
              <w:right w:w="90" w:type="dxa"/>
            </w:tcMar>
          </w:tcPr>
          <w:p>
            <w:pPr>
              <w:spacing w:after="0" w:line="240" w:lineRule="auto"/>
              <w:jc w:val="left"/>
            </w:pPr>
            <w:r/>
            <w:r>
              <w:rPr>
                <w:rFonts w:ascii="Times New Roman" w:hAnsi="Times New Roman"/>
                <w:b w:val="0"/>
                <w:sz w:val="19"/>
              </w:rPr>
              <w:t>78.8%</w:t>
            </w:r>
          </w:p>
        </w:tc>
        <w:tc>
          <w:tcPr>
            <w:tcW w:type="dxa" w:w="1656"/>
            <w:vAlign w:val="center"/>
            <w:tcMar>
              <w:top w:w="90" w:type="dxa"/>
              <w:left w:w="90" w:type="dxa"/>
              <w:bottom w:w="90" w:type="dxa"/>
              <w:right w:w="90" w:type="dxa"/>
            </w:tcMar>
          </w:tcPr>
          <w:p>
            <w:pPr>
              <w:spacing w:after="0" w:line="240" w:lineRule="auto"/>
              <w:jc w:val="left"/>
            </w:pPr>
            <w:r/>
            <w:r>
              <w:rPr>
                <w:rFonts w:ascii="Times New Roman" w:hAnsi="Times New Roman"/>
                <w:b w:val="0"/>
                <w:sz w:val="19"/>
              </w:rPr>
              <w:t>27.3 h</w:t>
            </w:r>
          </w:p>
        </w:tc>
      </w:tr>
      <w:tr>
        <w:tc>
          <w:tcPr>
            <w:tcW w:type="dxa" w:w="2304"/>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9"/>
              </w:rPr>
              <w:t>Combined</w:t>
            </w:r>
          </w:p>
        </w:tc>
        <w:tc>
          <w:tcPr>
            <w:tcW w:type="dxa" w:w="1584"/>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9"/>
              </w:rPr>
              <w:t>1.3%</w:t>
            </w:r>
          </w:p>
        </w:tc>
        <w:tc>
          <w:tcPr>
            <w:tcW w:type="dxa" w:w="1656"/>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9"/>
              </w:rPr>
              <w:t>2.6%</w:t>
            </w:r>
          </w:p>
        </w:tc>
        <w:tc>
          <w:tcPr>
            <w:tcW w:type="dxa" w:w="1656"/>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9"/>
              </w:rPr>
              <w:t>89.5%</w:t>
            </w:r>
          </w:p>
        </w:tc>
        <w:tc>
          <w:tcPr>
            <w:tcW w:type="dxa" w:w="1656"/>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9"/>
              </w:rPr>
              <w:t>27.9 h</w:t>
            </w:r>
          </w:p>
        </w:tc>
      </w:tr>
    </w:tbl>
    <w:p>
      <w:pPr>
        <w:spacing w:after="0"/>
      </w:pPr>
    </w:p>
    <w:p>
      <w:pPr>
        <w:keepNext w:val="0"/>
        <w:spacing w:after="160"/>
        <w:jc w:val="center"/>
      </w:pPr>
      <w:r>
        <w:rPr>
          <w:rFonts w:ascii="Times New Roman" w:hAnsi="Times New Roman"/>
          <w:sz w:val="22"/>
        </w:rPr>
        <w:t>Table 4. Synthetic offline simulation over 5,000 projects per policy; not a causal deployment estimate.</w:t>
      </w:r>
    </w:p>
    <w:p>
      <w:pPr>
        <w:pStyle w:val="Heading2"/>
        <w:jc w:val="left"/>
      </w:pPr>
      <w:r>
        <w:rPr>
          <w:rFonts w:ascii="Times New Roman" w:hAnsi="Times New Roman"/>
          <w:b/>
          <w:i w:val="0"/>
          <w:sz w:val="26"/>
        </w:rPr>
        <w:t>4.5 Implementation Status and Review 2 Demo</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1440"/>
            <w:vAlign w:val="center"/>
            <w:tcMar>
              <w:top w:w="90" w:type="dxa"/>
              <w:left w:w="90" w:type="dxa"/>
              <w:bottom w:w="90" w:type="dxa"/>
              <w:right w:w="90" w:type="dxa"/>
            </w:tcMar>
            <w:shd w:fill="D9EAF7"/>
          </w:tcPr>
          <w:p>
            <w:pPr>
              <w:spacing w:after="0" w:line="240" w:lineRule="auto"/>
              <w:jc w:val="center"/>
            </w:pPr>
            <w:r/>
            <w:r>
              <w:rPr>
                <w:rFonts w:ascii="Times New Roman" w:hAnsi="Times New Roman"/>
                <w:b/>
                <w:sz w:val="19"/>
              </w:rPr>
              <w:t>State</w:t>
            </w:r>
          </w:p>
        </w:tc>
        <w:tc>
          <w:tcPr>
            <w:tcW w:type="dxa" w:w="6480"/>
            <w:vAlign w:val="center"/>
            <w:tcMar>
              <w:top w:w="90" w:type="dxa"/>
              <w:left w:w="90" w:type="dxa"/>
              <w:bottom w:w="90" w:type="dxa"/>
              <w:right w:w="90" w:type="dxa"/>
            </w:tcMar>
            <w:shd w:fill="D9EAF7"/>
          </w:tcPr>
          <w:p>
            <w:pPr>
              <w:spacing w:after="0" w:line="240" w:lineRule="auto"/>
              <w:jc w:val="center"/>
            </w:pPr>
            <w:r/>
            <w:r>
              <w:rPr>
                <w:rFonts w:ascii="Times New Roman" w:hAnsi="Times New Roman"/>
                <w:b/>
                <w:sz w:val="19"/>
              </w:rPr>
              <w:t>Modules</w:t>
            </w:r>
          </w:p>
        </w:tc>
        <w:tc>
          <w:tcPr>
            <w:tcW w:type="dxa" w:w="1080"/>
            <w:vAlign w:val="center"/>
            <w:tcMar>
              <w:top w:w="90" w:type="dxa"/>
              <w:left w:w="90" w:type="dxa"/>
              <w:bottom w:w="90" w:type="dxa"/>
              <w:right w:w="90" w:type="dxa"/>
            </w:tcMar>
            <w:shd w:fill="D9EAF7"/>
          </w:tcPr>
          <w:p>
            <w:pPr>
              <w:spacing w:after="0" w:line="240" w:lineRule="auto"/>
              <w:jc w:val="center"/>
            </w:pPr>
            <w:r/>
            <w:r>
              <w:rPr>
                <w:rFonts w:ascii="Times New Roman" w:hAnsi="Times New Roman"/>
                <w:b/>
                <w:sz w:val="19"/>
              </w:rPr>
              <w:t>Count</w:t>
            </w:r>
          </w:p>
        </w:tc>
      </w:tr>
      <w:tr>
        <w:tc>
          <w:tcPr>
            <w:tcW w:type="dxa" w:w="1440"/>
            <w:vAlign w:val="center"/>
            <w:tcMar>
              <w:top w:w="90" w:type="dxa"/>
              <w:left w:w="90" w:type="dxa"/>
              <w:bottom w:w="90" w:type="dxa"/>
              <w:right w:w="90" w:type="dxa"/>
            </w:tcMar>
          </w:tcPr>
          <w:p>
            <w:pPr>
              <w:spacing w:after="0" w:line="240" w:lineRule="auto"/>
              <w:jc w:val="left"/>
            </w:pPr>
            <w:r/>
            <w:r>
              <w:rPr>
                <w:rFonts w:ascii="Times New Roman" w:hAnsi="Times New Roman"/>
                <w:b w:val="0"/>
                <w:sz w:val="19"/>
              </w:rPr>
              <w:t>Complete</w:t>
            </w:r>
          </w:p>
        </w:tc>
        <w:tc>
          <w:tcPr>
            <w:tcW w:type="dxa" w:w="6480"/>
            <w:vAlign w:val="center"/>
            <w:tcMar>
              <w:top w:w="90" w:type="dxa"/>
              <w:left w:w="90" w:type="dxa"/>
              <w:bottom w:w="90" w:type="dxa"/>
              <w:right w:w="90" w:type="dxa"/>
            </w:tcMar>
          </w:tcPr>
          <w:p>
            <w:pPr>
              <w:spacing w:after="0" w:line="240" w:lineRule="auto"/>
              <w:jc w:val="left"/>
            </w:pPr>
            <w:r/>
            <w:r>
              <w:rPr>
                <w:rFonts w:ascii="Times New Roman" w:hAnsi="Times New Roman"/>
                <w:b w:val="0"/>
                <w:sz w:val="19"/>
              </w:rPr>
              <w:t>Schema map; generator; CSV evidence; OCEL SQLite; integrity validator; flattening comparison; six detectors; Markov and simulator baseline</w:t>
            </w:r>
          </w:p>
        </w:tc>
        <w:tc>
          <w:tcPr>
            <w:tcW w:type="dxa" w:w="1080"/>
            <w:vAlign w:val="center"/>
            <w:tcMar>
              <w:top w:w="90" w:type="dxa"/>
              <w:left w:w="90" w:type="dxa"/>
              <w:bottom w:w="90" w:type="dxa"/>
              <w:right w:w="90" w:type="dxa"/>
            </w:tcMar>
          </w:tcPr>
          <w:p>
            <w:pPr>
              <w:spacing w:after="0" w:line="240" w:lineRule="auto"/>
              <w:jc w:val="left"/>
            </w:pPr>
            <w:r/>
            <w:r>
              <w:rPr>
                <w:rFonts w:ascii="Times New Roman" w:hAnsi="Times New Roman"/>
                <w:b w:val="0"/>
                <w:sz w:val="19"/>
              </w:rPr>
              <w:t>8 modules</w:t>
            </w:r>
          </w:p>
        </w:tc>
      </w:tr>
      <w:tr>
        <w:tc>
          <w:tcPr>
            <w:tcW w:type="dxa" w:w="1440"/>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9"/>
              </w:rPr>
              <w:t>Remaining</w:t>
            </w:r>
          </w:p>
        </w:tc>
        <w:tc>
          <w:tcPr>
            <w:tcW w:type="dxa" w:w="6480"/>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9"/>
              </w:rPr>
              <w:t>Real-log ingestion; PM4Py OC-DFG/conformance; object-aware predictor; empirical twin calibration</w:t>
            </w:r>
          </w:p>
        </w:tc>
        <w:tc>
          <w:tcPr>
            <w:tcW w:type="dxa" w:w="1080"/>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9"/>
              </w:rPr>
              <w:t>4 modules</w:t>
            </w:r>
          </w:p>
        </w:tc>
      </w:tr>
    </w:tbl>
    <w:p>
      <w:pPr>
        <w:spacing w:after="0"/>
      </w:pPr>
    </w:p>
    <w:p>
      <w:pPr>
        <w:spacing w:line="276" w:lineRule="auto" w:after="120"/>
        <w:ind w:firstLine="432"/>
        <w:jc w:val="both"/>
      </w:pPr>
      <w:r>
        <w:rPr>
          <w:rFonts w:ascii="Times New Roman" w:hAnsi="Times New Roman"/>
          <w:sz w:val="24"/>
        </w:rPr>
        <w:t>The declared Review 2 module scope is therefore 8/12, or 67% by module count. This percentage is a readiness indicator, not an effort-weighted estimate. The demo should regenerate the benchmark, show the manifest and validation report, query the OCEL SQLite database, then reproduce the representation, detector and simulation tables.</w:t>
      </w:r>
    </w:p>
    <w:p>
      <w:pPr>
        <w:pStyle w:val="Heading2"/>
        <w:jc w:val="left"/>
      </w:pPr>
      <w:r>
        <w:rPr>
          <w:rFonts w:ascii="Times New Roman" w:hAnsi="Times New Roman"/>
          <w:b/>
          <w:i w:val="0"/>
          <w:sz w:val="26"/>
        </w:rPr>
        <w:t>4.6 Threats to Validity and Journal Path</w:t>
      </w:r>
    </w:p>
    <w:p>
      <w:pPr>
        <w:spacing w:line="276" w:lineRule="auto" w:after="80"/>
        <w:ind w:left="360" w:hanging="259"/>
        <w:jc w:val="both"/>
      </w:pPr>
      <w:r>
        <w:rPr>
          <w:rFonts w:ascii="Times New Roman" w:hAnsi="Times New Roman"/>
          <w:sz w:val="24"/>
        </w:rPr>
        <w:t xml:space="preserve">• </w:t>
      </w:r>
      <w:r>
        <w:rPr>
          <w:rFonts w:ascii="Times New Roman" w:hAnsi="Times New Roman"/>
          <w:b/>
          <w:sz w:val="24"/>
        </w:rPr>
        <w:t xml:space="preserve">Construct validity: </w:t>
      </w:r>
      <w:r>
        <w:rPr>
          <w:rFonts w:ascii="Times New Roman" w:hAnsi="Times New Roman"/>
          <w:sz w:val="24"/>
        </w:rPr>
        <w:t>synthetic gaps are derived from documentation, but their frequencies are assumptions. Mitigation: publish configuration and recalibrate on approved logs.</w:t>
      </w:r>
    </w:p>
    <w:p>
      <w:pPr>
        <w:spacing w:line="276" w:lineRule="auto" w:after="80"/>
        <w:ind w:left="360" w:hanging="259"/>
        <w:jc w:val="both"/>
      </w:pPr>
      <w:r>
        <w:rPr>
          <w:rFonts w:ascii="Times New Roman" w:hAnsi="Times New Roman"/>
          <w:sz w:val="24"/>
        </w:rPr>
        <w:t xml:space="preserve">• </w:t>
      </w:r>
      <w:r>
        <w:rPr>
          <w:rFonts w:ascii="Times New Roman" w:hAnsi="Times New Roman"/>
          <w:b/>
          <w:sz w:val="24"/>
        </w:rPr>
        <w:t xml:space="preserve">Internal validity: </w:t>
      </w:r>
      <w:r>
        <w:rPr>
          <w:rFonts w:ascii="Times New Roman" w:hAnsi="Times New Roman"/>
          <w:sz w:val="24"/>
        </w:rPr>
        <w:t>rule detectors target structures used during injection. Mitigation: blind expert labelling, alternative injections and negative controls.</w:t>
      </w:r>
    </w:p>
    <w:p>
      <w:pPr>
        <w:spacing w:line="276" w:lineRule="auto" w:after="80"/>
        <w:ind w:left="360" w:hanging="259"/>
        <w:jc w:val="both"/>
      </w:pPr>
      <w:r>
        <w:rPr>
          <w:rFonts w:ascii="Times New Roman" w:hAnsi="Times New Roman"/>
          <w:sz w:val="24"/>
        </w:rPr>
        <w:t xml:space="preserve">• </w:t>
      </w:r>
      <w:r>
        <w:rPr>
          <w:rFonts w:ascii="Times New Roman" w:hAnsi="Times New Roman"/>
          <w:b/>
          <w:sz w:val="24"/>
        </w:rPr>
        <w:t xml:space="preserve">External validity: </w:t>
      </w:r>
      <w:r>
        <w:rPr>
          <w:rFonts w:ascii="Times New Roman" w:hAnsi="Times New Roman"/>
          <w:sz w:val="24"/>
        </w:rPr>
        <w:t>one institution and synthetic traces cannot establish generality. Mitigation: second domain or cohort, multiple seeds/scales and real-log replication.</w:t>
      </w:r>
    </w:p>
    <w:p>
      <w:pPr>
        <w:spacing w:line="276" w:lineRule="auto" w:after="80"/>
        <w:ind w:left="360" w:hanging="259"/>
        <w:jc w:val="both"/>
      </w:pPr>
      <w:r>
        <w:rPr>
          <w:rFonts w:ascii="Times New Roman" w:hAnsi="Times New Roman"/>
          <w:sz w:val="24"/>
        </w:rPr>
        <w:t xml:space="preserve">• </w:t>
      </w:r>
      <w:r>
        <w:rPr>
          <w:rFonts w:ascii="Times New Roman" w:hAnsi="Times New Roman"/>
          <w:b/>
          <w:sz w:val="24"/>
        </w:rPr>
        <w:t xml:space="preserve">Novelty validity: </w:t>
      </w:r>
      <w:r>
        <w:rPr>
          <w:rFonts w:ascii="Times New Roman" w:hAnsi="Times New Roman"/>
          <w:sz w:val="24"/>
        </w:rPr>
        <w:t>the broad first-in-education claim is obsolete after Miri et al. (2026). Mitigation: claim the capstone-specific transactional process and evaluation method, not universal priority.</w:t>
      </w:r>
    </w:p>
    <w:p>
      <w:pPr>
        <w:spacing w:line="276" w:lineRule="auto" w:after="80"/>
        <w:ind w:left="360" w:hanging="259"/>
        <w:jc w:val="both"/>
      </w:pPr>
      <w:r>
        <w:rPr>
          <w:rFonts w:ascii="Times New Roman" w:hAnsi="Times New Roman"/>
          <w:sz w:val="24"/>
        </w:rPr>
        <w:t xml:space="preserve">• </w:t>
      </w:r>
      <w:r>
        <w:rPr>
          <w:rFonts w:ascii="Times New Roman" w:hAnsi="Times New Roman"/>
          <w:b/>
          <w:sz w:val="24"/>
        </w:rPr>
        <w:t xml:space="preserve">Journal-strength exit criteria: </w:t>
      </w:r>
      <w:r>
        <w:rPr>
          <w:rFonts w:ascii="Times New Roman" w:hAnsi="Times New Roman"/>
          <w:sz w:val="24"/>
        </w:rPr>
        <w:t>preregister predicates; release a formal benchmark; compare OCEL extraction/conformance baselines; report ablations and uncertainty; obtain independent expert validation and inter-rater agreement; validate on real logs and preferably a second setting.</w:t>
      </w:r>
    </w:p>
    <w:p>
      <w:r>
        <w:br w:type="page"/>
      </w:r>
    </w:p>
    <w:p>
      <w:pPr>
        <w:pStyle w:val="Heading1"/>
        <w:jc w:val="center"/>
      </w:pPr>
      <w:r>
        <w:rPr>
          <w:rFonts w:ascii="Times New Roman" w:hAnsi="Times New Roman"/>
          <w:b/>
          <w:i w:val="0"/>
          <w:sz w:val="28"/>
        </w:rPr>
        <w:t>5. REFERENCES</w:t>
      </w:r>
    </w:p>
    <w:p>
      <w:pPr>
        <w:spacing w:after="120"/>
        <w:ind w:left="360" w:hanging="360"/>
        <w:jc w:val="both"/>
      </w:pPr>
      <w:r>
        <w:rPr>
          <w:rFonts w:ascii="Times New Roman" w:hAnsi="Times New Roman"/>
          <w:sz w:val="22"/>
        </w:rPr>
        <w:t>[1] A. Berti et al., ‘OCEL (Object-Centric Event Log) 2.0 Specification,’ arXiv:2403.01975, 2024. https://www.ocel-standard.org/2.0/ocel20_specification.pdf</w:t>
      </w:r>
    </w:p>
    <w:p>
      <w:pPr>
        <w:spacing w:after="120"/>
        <w:ind w:left="360" w:hanging="360"/>
        <w:jc w:val="both"/>
      </w:pPr>
      <w:r>
        <w:rPr>
          <w:rFonts w:ascii="Times New Roman" w:hAnsi="Times New Roman"/>
          <w:sz w:val="22"/>
        </w:rPr>
        <w:t>[2] W. M. P. van der Aalst, ‘Object-Centric Process Mining,’ in Software Engineering and Formal Methods, LNCS 11724, pp. 3–25, 2019. doi:10.1007/978-3-030-30446-1_1.</w:t>
      </w:r>
    </w:p>
    <w:p>
      <w:pPr>
        <w:spacing w:after="120"/>
        <w:ind w:left="360" w:hanging="360"/>
        <w:jc w:val="both"/>
      </w:pPr>
      <w:r>
        <w:rPr>
          <w:rFonts w:ascii="Times New Roman" w:hAnsi="Times New Roman"/>
          <w:sz w:val="22"/>
        </w:rPr>
        <w:t>[3] G. Park, J. N. Adams, and W. M. P. van der Aalst, ‘Conformance Checking and Performance Analysis Using Object-Centric Directly-Follows Graphs,’ BPM Forum, 2024. doi:10.1007/978-3-031-70418-5_11.</w:t>
      </w:r>
    </w:p>
    <w:p>
      <w:pPr>
        <w:spacing w:after="120"/>
        <w:ind w:left="360" w:hanging="360"/>
        <w:jc w:val="both"/>
      </w:pPr>
      <w:r>
        <w:rPr>
          <w:rFonts w:ascii="Times New Roman" w:hAnsi="Times New Roman"/>
          <w:sz w:val="22"/>
        </w:rPr>
        <w:t>[4] G. Park and W. M. P. van der Aalst, ‘Realizing a Digital Twin of an Organization Using Action-Oriented Process Mining,’ ICPM, 2021. doi:10.1109/ICPM53251.2021.9576846.</w:t>
      </w:r>
    </w:p>
    <w:p>
      <w:pPr>
        <w:spacing w:after="120"/>
        <w:ind w:left="360" w:hanging="360"/>
        <w:jc w:val="both"/>
      </w:pPr>
      <w:r>
        <w:rPr>
          <w:rFonts w:ascii="Times New Roman" w:hAnsi="Times New Roman"/>
          <w:sz w:val="22"/>
        </w:rPr>
        <w:t>[5] A. Bogarín, R. Cerezo, and C. Romero, ‘A Survey on Educational Process Mining,’ WIREs Data Mining and Knowledge Discovery, 2018. doi:10.1002/widm.1230.</w:t>
      </w:r>
    </w:p>
    <w:p>
      <w:pPr>
        <w:spacing w:after="120"/>
        <w:ind w:left="360" w:hanging="360"/>
        <w:jc w:val="both"/>
      </w:pPr>
      <w:r>
        <w:rPr>
          <w:rFonts w:ascii="Times New Roman" w:hAnsi="Times New Roman"/>
          <w:sz w:val="22"/>
        </w:rPr>
        <w:t>[6] D. Calegari and A. Delgado, ‘A Systematic Review on Process Mining for Curricular Analysis,’ WIREs Data Mining and Knowledge Discovery, 2025. doi:10.1002/widm.70005.</w:t>
      </w:r>
    </w:p>
    <w:p>
      <w:pPr>
        <w:spacing w:after="120"/>
        <w:ind w:left="360" w:hanging="360"/>
        <w:jc w:val="both"/>
      </w:pPr>
      <w:r>
        <w:rPr>
          <w:rFonts w:ascii="Times New Roman" w:hAnsi="Times New Roman"/>
          <w:sz w:val="22"/>
        </w:rPr>
        <w:t>[7] N. Miri, S. Khayatbashi, J. Zdravkovic, and A. Jalali, ‘An Object-Centric Approach to Multi-Entity Educational Process Mining,’ Decision Analytics Journal, vol. 19, 100724, 2026. doi:10.1016/j.dajour.2026.100724.</w:t>
      </w:r>
    </w:p>
    <w:p>
      <w:pPr>
        <w:spacing w:after="120"/>
        <w:ind w:left="360" w:hanging="360"/>
        <w:jc w:val="both"/>
      </w:pPr>
      <w:r>
        <w:rPr>
          <w:rFonts w:ascii="Times New Roman" w:hAnsi="Times New Roman"/>
          <w:sz w:val="22"/>
        </w:rPr>
        <w:t>[8] J. Wei et al., ‘Dirigo: A Method to Extract Event Logs for Object-Centric Processes,’ Data &amp; Knowledge Engineering, vol. 160, 102485, 2025. doi:10.1016/j.datak.2025.102485.</w:t>
      </w:r>
    </w:p>
    <w:p>
      <w:r>
        <w:br w:type="page"/>
      </w:r>
    </w:p>
    <w:p>
      <w:pPr>
        <w:pStyle w:val="Heading1"/>
        <w:jc w:val="center"/>
      </w:pPr>
      <w:r>
        <w:rPr>
          <w:rFonts w:ascii="Times New Roman" w:hAnsi="Times New Roman"/>
          <w:b/>
          <w:i w:val="0"/>
          <w:sz w:val="28"/>
        </w:rPr>
        <w:t>APPENDIX A. SYNTHETIC DATA AND REPRODUCIBILITY</w:t>
      </w:r>
    </w:p>
    <w:p>
      <w:pPr>
        <w:spacing w:line="276" w:lineRule="auto" w:after="120"/>
        <w:ind w:firstLine="432"/>
        <w:jc w:val="both"/>
      </w:pPr>
      <w:r>
        <w:rPr>
          <w:rFonts w:ascii="Times New Roman" w:hAnsi="Times New Roman"/>
          <w:sz w:val="24"/>
        </w:rPr>
        <w:t>The runnable Review 2 package contains the two Python scripts, three scenario folders, OCEL SQLite exports, CSV evidence, checksums and machine-readable result summaries. To reproduce the evidence, run the generator and then the analysis script from the package root. Generated artifacts should match the manifest when the same runtime and seed are used.</w:t>
      </w:r>
    </w:p>
    <w:tbl>
      <w:tblPr>
        <w:tblStyle w:val="TableGrid"/>
        <w:tblW w:type="auto" w:w="0"/>
        <w:jc w:val="center"/>
        <w:tblLayout w:type="fixed"/>
        <w:tblLook w:firstColumn="1" w:firstRow="1" w:lastColumn="0" w:lastRow="0" w:noHBand="0" w:noVBand="1" w:val="04A0"/>
      </w:tblPr>
      <w:tblGrid>
        <w:gridCol w:w="4514"/>
        <w:gridCol w:w="4514"/>
      </w:tblGrid>
      <w:tr>
        <w:trPr>
          <w:tblHeader w:val="true"/>
        </w:trPr>
        <w:tc>
          <w:tcPr>
            <w:tcW w:type="dxa" w:w="2304"/>
            <w:vAlign w:val="center"/>
            <w:tcMar>
              <w:top w:w="90" w:type="dxa"/>
              <w:left w:w="90" w:type="dxa"/>
              <w:bottom w:w="90" w:type="dxa"/>
              <w:right w:w="90" w:type="dxa"/>
            </w:tcMar>
            <w:shd w:fill="D9EAF7"/>
          </w:tcPr>
          <w:p>
            <w:pPr>
              <w:spacing w:after="0" w:line="240" w:lineRule="auto"/>
              <w:jc w:val="center"/>
            </w:pPr>
            <w:r/>
            <w:r>
              <w:rPr>
                <w:rFonts w:ascii="Times New Roman" w:hAnsi="Times New Roman"/>
                <w:b/>
                <w:sz w:val="19"/>
              </w:rPr>
              <w:t>Item</w:t>
            </w:r>
          </w:p>
        </w:tc>
        <w:tc>
          <w:tcPr>
            <w:tcW w:type="dxa" w:w="6696"/>
            <w:vAlign w:val="center"/>
            <w:tcMar>
              <w:top w:w="90" w:type="dxa"/>
              <w:left w:w="90" w:type="dxa"/>
              <w:bottom w:w="90" w:type="dxa"/>
              <w:right w:w="90" w:type="dxa"/>
            </w:tcMar>
            <w:shd w:fill="D9EAF7"/>
          </w:tcPr>
          <w:p>
            <w:pPr>
              <w:spacing w:after="0" w:line="240" w:lineRule="auto"/>
              <w:jc w:val="center"/>
            </w:pPr>
            <w:r/>
            <w:r>
              <w:rPr>
                <w:rFonts w:ascii="Times New Roman" w:hAnsi="Times New Roman"/>
                <w:b/>
                <w:sz w:val="19"/>
              </w:rPr>
              <w:t>Value</w:t>
            </w:r>
          </w:p>
        </w:tc>
      </w:tr>
      <w:tr>
        <w:tc>
          <w:tcPr>
            <w:tcW w:type="dxa" w:w="2304"/>
            <w:vAlign w:val="center"/>
            <w:tcMar>
              <w:top w:w="90" w:type="dxa"/>
              <w:left w:w="90" w:type="dxa"/>
              <w:bottom w:w="90" w:type="dxa"/>
              <w:right w:w="90" w:type="dxa"/>
            </w:tcMar>
          </w:tcPr>
          <w:p>
            <w:pPr>
              <w:spacing w:after="0" w:line="240" w:lineRule="auto"/>
              <w:jc w:val="left"/>
            </w:pPr>
            <w:r/>
            <w:r>
              <w:rPr>
                <w:rFonts w:ascii="Times New Roman" w:hAnsi="Times New Roman"/>
                <w:b w:val="0"/>
                <w:sz w:val="19"/>
              </w:rPr>
              <w:t>Seed</w:t>
            </w:r>
          </w:p>
        </w:tc>
        <w:tc>
          <w:tcPr>
            <w:tcW w:type="dxa" w:w="6696"/>
            <w:vAlign w:val="center"/>
            <w:tcMar>
              <w:top w:w="90" w:type="dxa"/>
              <w:left w:w="90" w:type="dxa"/>
              <w:bottom w:w="90" w:type="dxa"/>
              <w:right w:w="90" w:type="dxa"/>
            </w:tcMar>
          </w:tcPr>
          <w:p>
            <w:pPr>
              <w:spacing w:after="0" w:line="240" w:lineRule="auto"/>
              <w:jc w:val="left"/>
            </w:pPr>
            <w:r/>
            <w:r>
              <w:rPr>
                <w:rFonts w:ascii="Times New Roman" w:hAnsi="Times New Roman"/>
                <w:b w:val="0"/>
                <w:sz w:val="19"/>
              </w:rPr>
              <w:t>4971</w:t>
            </w:r>
          </w:p>
        </w:tc>
      </w:tr>
      <w:tr>
        <w:tc>
          <w:tcPr>
            <w:tcW w:type="dxa" w:w="2304"/>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9"/>
              </w:rPr>
              <w:t>Projects/scenario</w:t>
            </w:r>
          </w:p>
        </w:tc>
        <w:tc>
          <w:tcPr>
            <w:tcW w:type="dxa" w:w="6696"/>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9"/>
              </w:rPr>
              <w:t>120</w:t>
            </w:r>
          </w:p>
        </w:tc>
      </w:tr>
      <w:tr>
        <w:tc>
          <w:tcPr>
            <w:tcW w:type="dxa" w:w="2304"/>
            <w:vAlign w:val="center"/>
            <w:tcMar>
              <w:top w:w="90" w:type="dxa"/>
              <w:left w:w="90" w:type="dxa"/>
              <w:bottom w:w="90" w:type="dxa"/>
              <w:right w:w="90" w:type="dxa"/>
            </w:tcMar>
          </w:tcPr>
          <w:p>
            <w:pPr>
              <w:spacing w:after="0" w:line="240" w:lineRule="auto"/>
              <w:jc w:val="left"/>
            </w:pPr>
            <w:r/>
            <w:r>
              <w:rPr>
                <w:rFonts w:ascii="Times New Roman" w:hAnsi="Times New Roman"/>
                <w:b w:val="0"/>
                <w:sz w:val="19"/>
              </w:rPr>
              <w:t>Faculty</w:t>
            </w:r>
          </w:p>
        </w:tc>
        <w:tc>
          <w:tcPr>
            <w:tcW w:type="dxa" w:w="6696"/>
            <w:vAlign w:val="center"/>
            <w:tcMar>
              <w:top w:w="90" w:type="dxa"/>
              <w:left w:w="90" w:type="dxa"/>
              <w:bottom w:w="90" w:type="dxa"/>
              <w:right w:w="90" w:type="dxa"/>
            </w:tcMar>
          </w:tcPr>
          <w:p>
            <w:pPr>
              <w:spacing w:after="0" w:line="240" w:lineRule="auto"/>
              <w:jc w:val="left"/>
            </w:pPr>
            <w:r/>
            <w:r>
              <w:rPr>
                <w:rFonts w:ascii="Times New Roman" w:hAnsi="Times New Roman"/>
                <w:b w:val="0"/>
                <w:sz w:val="19"/>
              </w:rPr>
              <w:t>30</w:t>
            </w:r>
          </w:p>
        </w:tc>
      </w:tr>
      <w:tr>
        <w:tc>
          <w:tcPr>
            <w:tcW w:type="dxa" w:w="2304"/>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9"/>
              </w:rPr>
              <w:t>Students/team</w:t>
            </w:r>
          </w:p>
        </w:tc>
        <w:tc>
          <w:tcPr>
            <w:tcW w:type="dxa" w:w="6696"/>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9"/>
              </w:rPr>
              <w:t>3</w:t>
            </w:r>
          </w:p>
        </w:tc>
      </w:tr>
      <w:tr>
        <w:tc>
          <w:tcPr>
            <w:tcW w:type="dxa" w:w="2304"/>
            <w:vAlign w:val="center"/>
            <w:tcMar>
              <w:top w:w="90" w:type="dxa"/>
              <w:left w:w="90" w:type="dxa"/>
              <w:bottom w:w="90" w:type="dxa"/>
              <w:right w:w="90" w:type="dxa"/>
            </w:tcMar>
          </w:tcPr>
          <w:p>
            <w:pPr>
              <w:spacing w:after="0" w:line="240" w:lineRule="auto"/>
              <w:jc w:val="left"/>
            </w:pPr>
            <w:r/>
            <w:r>
              <w:rPr>
                <w:rFonts w:ascii="Times New Roman" w:hAnsi="Times New Roman"/>
                <w:b w:val="0"/>
                <w:sz w:val="19"/>
              </w:rPr>
              <w:t>Scenarios</w:t>
            </w:r>
          </w:p>
        </w:tc>
        <w:tc>
          <w:tcPr>
            <w:tcW w:type="dxa" w:w="6696"/>
            <w:vAlign w:val="center"/>
            <w:tcMar>
              <w:top w:w="90" w:type="dxa"/>
              <w:left w:w="90" w:type="dxa"/>
              <w:bottom w:w="90" w:type="dxa"/>
              <w:right w:w="90" w:type="dxa"/>
            </w:tcMar>
          </w:tcPr>
          <w:p>
            <w:pPr>
              <w:spacing w:after="0" w:line="240" w:lineRule="auto"/>
              <w:jc w:val="left"/>
            </w:pPr>
            <w:r/>
            <w:r>
              <w:rPr>
                <w:rFonts w:ascii="Times New Roman" w:hAnsi="Times New Roman"/>
                <w:b w:val="0"/>
                <w:sz w:val="19"/>
              </w:rPr>
              <w:t>clean_target; implemented_baseline; gap_injected</w:t>
            </w:r>
          </w:p>
        </w:tc>
      </w:tr>
      <w:tr>
        <w:tc>
          <w:tcPr>
            <w:tcW w:type="dxa" w:w="2304"/>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9"/>
              </w:rPr>
              <w:t>Primary outputs</w:t>
            </w:r>
          </w:p>
        </w:tc>
        <w:tc>
          <w:tcPr>
            <w:tcW w:type="dxa" w:w="6696"/>
            <w:vAlign w:val="center"/>
            <w:tcMar>
              <w:top w:w="90" w:type="dxa"/>
              <w:left w:w="90" w:type="dxa"/>
              <w:bottom w:w="90" w:type="dxa"/>
              <w:right w:w="90" w:type="dxa"/>
            </w:tcMar>
            <w:shd w:fill="F7FAFC"/>
          </w:tcPr>
          <w:p>
            <w:pPr>
              <w:spacing w:after="0" w:line="240" w:lineRule="auto"/>
              <w:jc w:val="left"/>
            </w:pPr>
            <w:r/>
            <w:r>
              <w:rPr>
                <w:rFonts w:ascii="Times New Roman" w:hAnsi="Times New Roman"/>
                <w:b w:val="0"/>
                <w:sz w:val="19"/>
              </w:rPr>
              <w:t>events.csv; objects.csv; e2o.csv; o2o.csv; ocel2.sqlite; validation.json; manifest.json</w:t>
            </w:r>
          </w:p>
        </w:tc>
      </w:tr>
      <w:tr>
        <w:tc>
          <w:tcPr>
            <w:tcW w:type="dxa" w:w="2304"/>
            <w:vAlign w:val="center"/>
            <w:tcMar>
              <w:top w:w="90" w:type="dxa"/>
              <w:left w:w="90" w:type="dxa"/>
              <w:bottom w:w="90" w:type="dxa"/>
              <w:right w:w="90" w:type="dxa"/>
            </w:tcMar>
          </w:tcPr>
          <w:p>
            <w:pPr>
              <w:spacing w:after="0" w:line="240" w:lineRule="auto"/>
              <w:jc w:val="left"/>
            </w:pPr>
            <w:r/>
            <w:r>
              <w:rPr>
                <w:rFonts w:ascii="Times New Roman" w:hAnsi="Times New Roman"/>
                <w:b w:val="0"/>
                <w:sz w:val="19"/>
              </w:rPr>
              <w:t>Result outputs</w:t>
            </w:r>
          </w:p>
        </w:tc>
        <w:tc>
          <w:tcPr>
            <w:tcW w:type="dxa" w:w="6696"/>
            <w:vAlign w:val="center"/>
            <w:tcMar>
              <w:top w:w="90" w:type="dxa"/>
              <w:left w:w="90" w:type="dxa"/>
              <w:bottom w:w="90" w:type="dxa"/>
              <w:right w:w="90" w:type="dxa"/>
            </w:tcMar>
          </w:tcPr>
          <w:p>
            <w:pPr>
              <w:spacing w:after="0" w:line="240" w:lineRule="auto"/>
              <w:jc w:val="left"/>
            </w:pPr>
            <w:r/>
            <w:r>
              <w:rPr>
                <w:rFonts w:ascii="Times New Roman" w:hAnsi="Times New Roman"/>
                <w:b w:val="0"/>
                <w:sz w:val="19"/>
              </w:rPr>
              <w:t>flattening, COOC, detector, Markov and simulation CSV/JSON summaries</w:t>
            </w:r>
          </w:p>
        </w:tc>
      </w:tr>
    </w:tbl>
    <w:p>
      <w:pPr>
        <w:spacing w:after="0"/>
      </w:pPr>
    </w:p>
    <w:p>
      <w:pPr>
        <w:pStyle w:val="Heading2"/>
        <w:jc w:val="left"/>
      </w:pPr>
      <w:r>
        <w:rPr>
          <w:rFonts w:ascii="Times New Roman" w:hAnsi="Times New Roman"/>
          <w:b/>
          <w:i w:val="0"/>
          <w:sz w:val="26"/>
        </w:rPr>
        <w:t>A.1 Evidence Interpretation Rules</w:t>
      </w:r>
    </w:p>
    <w:p>
      <w:pPr>
        <w:spacing w:line="276" w:lineRule="auto" w:after="80"/>
        <w:ind w:left="360" w:hanging="259"/>
        <w:jc w:val="both"/>
      </w:pPr>
      <w:r>
        <w:rPr>
          <w:rFonts w:ascii="Times New Roman" w:hAnsi="Times New Roman"/>
          <w:sz w:val="24"/>
        </w:rPr>
        <w:t xml:space="preserve">• </w:t>
      </w:r>
      <w:r>
        <w:rPr>
          <w:rFonts w:ascii="Times New Roman" w:hAnsi="Times New Roman"/>
          <w:b/>
          <w:sz w:val="24"/>
        </w:rPr>
        <w:t xml:space="preserve">May claim: </w:t>
      </w:r>
      <w:r>
        <w:rPr>
          <w:rFonts w:ascii="Times New Roman" w:hAnsi="Times New Roman"/>
          <w:sz w:val="24"/>
        </w:rPr>
        <w:t>the current scripts deterministically generate and validate the documented synthetic benchmark and demonstrate representation/detector feasibility under those assumptions.</w:t>
      </w:r>
    </w:p>
    <w:p>
      <w:pPr>
        <w:spacing w:line="276" w:lineRule="auto" w:after="80"/>
        <w:ind w:left="360" w:hanging="259"/>
        <w:jc w:val="both"/>
      </w:pPr>
      <w:r>
        <w:rPr>
          <w:rFonts w:ascii="Times New Roman" w:hAnsi="Times New Roman"/>
          <w:sz w:val="24"/>
        </w:rPr>
        <w:t xml:space="preserve">• </w:t>
      </w:r>
      <w:r>
        <w:rPr>
          <w:rFonts w:ascii="Times New Roman" w:hAnsi="Times New Roman"/>
          <w:b/>
          <w:sz w:val="24"/>
        </w:rPr>
        <w:t xml:space="preserve">May not claim: </w:t>
      </w:r>
      <w:r>
        <w:rPr>
          <w:rFonts w:ascii="Times New Roman" w:hAnsi="Times New Roman"/>
          <w:sz w:val="24"/>
        </w:rPr>
        <w:t>the reported rates occur in Educational Capstone Portal, that the intervention causes real-world improvement, or that the method generalises beyond the generated oracle.</w:t>
      </w:r>
    </w:p>
    <w:p>
      <w:pPr>
        <w:spacing w:line="276" w:lineRule="auto" w:after="80"/>
        <w:ind w:left="360" w:hanging="259"/>
        <w:jc w:val="both"/>
      </w:pPr>
      <w:r>
        <w:rPr>
          <w:rFonts w:ascii="Times New Roman" w:hAnsi="Times New Roman"/>
          <w:sz w:val="24"/>
        </w:rPr>
        <w:t xml:space="preserve">• </w:t>
      </w:r>
      <w:r>
        <w:rPr>
          <w:rFonts w:ascii="Times New Roman" w:hAnsi="Times New Roman"/>
          <w:b/>
          <w:sz w:val="24"/>
        </w:rPr>
        <w:t xml:space="preserve">Next evidence: </w:t>
      </w:r>
      <w:r>
        <w:rPr>
          <w:rFonts w:ascii="Times New Roman" w:hAnsi="Times New Roman"/>
          <w:sz w:val="24"/>
        </w:rPr>
        <w:t>guide-approved data access, de-identification, instrumentation audit, preregistered real-log protocol, external baselines and independent validation.</w:t>
      </w:r>
    </w:p>
    <w:sectPr w:rsidR="00D111AF">
      <w:footerReference w:type="default" r:id="rId17"/>
      <w:pgSz w:w="11909" w:h="16834"/>
      <w:pgMar w:top="1440" w:right="1440" w:bottom="1440" w:left="1440" w:header="648" w:footer="648" w:gutter="0"/>
      <w:cols w:space="72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2A8C9" w14:textId="77777777" w:rsidR="00450320" w:rsidRDefault="00450320">
      <w:r>
        <w:separator/>
      </w:r>
    </w:p>
  </w:endnote>
  <w:endnote w:type="continuationSeparator" w:id="0">
    <w:p w14:paraId="5C736A2F" w14:textId="77777777" w:rsidR="00450320" w:rsidRDefault="004503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69EF742-4660-4A78-B4B6-F00F2375110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Segoe UI">
    <w:panose1 w:val="020B0502040204020203"/>
    <w:charset w:val="00"/>
    <w:family w:val="roman"/>
    <w:notTrueType/>
    <w:pitch w:val="default"/>
    <w:embedRegular r:id="rId2" w:fontKey="{1B24DCA1-41D1-4EC5-8CF2-81BA8B214E3B}"/>
  </w:font>
  <w:font w:name="Georgia">
    <w:panose1 w:val="02040502050405020303"/>
    <w:charset w:val="00"/>
    <w:family w:val="auto"/>
    <w:pitch w:val="default"/>
    <w:embedItalic r:id="rId3" w:fontKey="{E664839F-72A3-4D79-B4B6-069B4380ACA1}"/>
  </w:font>
  <w:font w:name="Roboto">
    <w:charset w:val="00"/>
    <w:family w:val="auto"/>
    <w:pitch w:val="variable"/>
    <w:sig w:usb0="E0000AFF" w:usb1="5000217F" w:usb2="00000021" w:usb3="00000000" w:csb0="0000019F" w:csb1="00000000"/>
    <w:embedRegular r:id="rId4" w:fontKey="{F69525CB-7C54-4E8B-8769-BEA586FF7784}"/>
    <w:embedBold r:id="rId5" w:fontKey="{17A4589A-F95E-4F57-8CA1-639B3F492370}"/>
  </w:font>
  <w:font w:name="Calibri Light">
    <w:panose1 w:val="020F0302020204030204"/>
    <w:charset w:val="00"/>
    <w:family w:val="swiss"/>
    <w:pitch w:val="variable"/>
    <w:sig w:usb0="E4002EFF" w:usb1="C200247B" w:usb2="00000009" w:usb3="00000000" w:csb0="000001FF" w:csb1="00000000"/>
    <w:embedRegular r:id="rId6" w:fontKey="{F0EFE7BA-A95E-4E21-B1CF-677552027F79}"/>
  </w:font>
  <w:font w:name="Calibri">
    <w:panose1 w:val="020F0502020204030204"/>
    <w:charset w:val="00"/>
    <w:family w:val="swiss"/>
    <w:pitch w:val="variable"/>
    <w:sig w:usb0="E4002EFF" w:usb1="C200247B" w:usb2="00000009" w:usb3="00000000" w:csb0="000001FF" w:csb1="00000000"/>
    <w:embedRegular r:id="rId7" w:fontKey="{E275F7CB-7819-4E1C-9959-231E68589D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5AD12" w14:textId="77777777" w:rsidR="00D111AF" w:rsidRDefault="00D111AF">
    <w:pPr>
      <w:pBdr>
        <w:top w:val="nil"/>
        <w:left w:val="nil"/>
        <w:bottom w:val="nil"/>
        <w:right w:val="nil"/>
        <w:between w:val="nil"/>
      </w:pBdr>
      <w:tabs>
        <w:tab w:val="center" w:pos="4513"/>
        <w:tab w:val="right" w:pos="9026"/>
      </w:tabs>
      <w:jc w:val="center"/>
      <w:rPr>
        <w:color w:val="000000"/>
      </w:rPr>
    </w:pPr>
  </w:p>
  <w:p w14:paraId="625D5EB5" w14:textId="77777777" w:rsidR="00D111AF" w:rsidRDefault="00D111AF">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F2EF4" w14:textId="10648EF4" w:rsidR="00D111AF"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7568C5">
      <w:rPr>
        <w:noProof/>
        <w:color w:val="000000"/>
      </w:rPr>
      <w:t>1</w:t>
    </w:r>
    <w:r>
      <w:rPr>
        <w:color w:val="000000"/>
      </w:rPr>
      <w:fldChar w:fldCharType="end"/>
    </w:r>
  </w:p>
  <w:p w14:paraId="4DD90A9A" w14:textId="77777777" w:rsidR="00D111AF" w:rsidRDefault="00D111AF">
    <w:pPr>
      <w:pBdr>
        <w:top w:val="nil"/>
        <w:left w:val="nil"/>
        <w:bottom w:val="nil"/>
        <w:right w:val="nil"/>
        <w:between w:val="nil"/>
      </w:pBdr>
      <w:tabs>
        <w:tab w:val="center" w:pos="4513"/>
        <w:tab w:val="right" w:pos="9026"/>
      </w:tabs>
      <w:rPr>
        <w:color w:val="000000"/>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 PAGE </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7CEBE" w14:textId="77777777" w:rsidR="00450320" w:rsidRDefault="00450320">
      <w:r>
        <w:separator/>
      </w:r>
    </w:p>
  </w:footnote>
  <w:footnote w:type="continuationSeparator" w:id="0">
    <w:p w14:paraId="48076354" w14:textId="77777777" w:rsidR="00450320" w:rsidRDefault="004503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0FB9"/>
    <w:multiLevelType w:val="multilevel"/>
    <w:tmpl w:val="AEB4A81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33D3643"/>
    <w:multiLevelType w:val="multilevel"/>
    <w:tmpl w:val="D214F6C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4BA1E54"/>
    <w:multiLevelType w:val="multilevel"/>
    <w:tmpl w:val="43DE21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C81062C"/>
    <w:multiLevelType w:val="multilevel"/>
    <w:tmpl w:val="ECCCF82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4280D96"/>
    <w:multiLevelType w:val="multilevel"/>
    <w:tmpl w:val="B748F79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E11627A"/>
    <w:multiLevelType w:val="multilevel"/>
    <w:tmpl w:val="69A079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E9A5FF7"/>
    <w:multiLevelType w:val="multilevel"/>
    <w:tmpl w:val="889C2DA8"/>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67CC5D50"/>
    <w:multiLevelType w:val="multilevel"/>
    <w:tmpl w:val="06BCA59E"/>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8" w15:restartNumberingAfterBreak="0">
    <w:nsid w:val="736A7707"/>
    <w:multiLevelType w:val="multilevel"/>
    <w:tmpl w:val="4F004B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9423A7F"/>
    <w:multiLevelType w:val="multilevel"/>
    <w:tmpl w:val="BDEA52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B1D4AEE"/>
    <w:multiLevelType w:val="multilevel"/>
    <w:tmpl w:val="8B30111A"/>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71669508">
    <w:abstractNumId w:val="1"/>
  </w:num>
  <w:num w:numId="2" w16cid:durableId="143476955">
    <w:abstractNumId w:val="4"/>
  </w:num>
  <w:num w:numId="3" w16cid:durableId="341905593">
    <w:abstractNumId w:val="3"/>
  </w:num>
  <w:num w:numId="4" w16cid:durableId="645741267">
    <w:abstractNumId w:val="6"/>
  </w:num>
  <w:num w:numId="5" w16cid:durableId="845557178">
    <w:abstractNumId w:val="0"/>
  </w:num>
  <w:num w:numId="6" w16cid:durableId="1614048445">
    <w:abstractNumId w:val="10"/>
  </w:num>
  <w:num w:numId="7" w16cid:durableId="192118342">
    <w:abstractNumId w:val="8"/>
  </w:num>
  <w:num w:numId="8" w16cid:durableId="268045343">
    <w:abstractNumId w:val="7"/>
  </w:num>
  <w:num w:numId="9" w16cid:durableId="750003983">
    <w:abstractNumId w:val="9"/>
  </w:num>
  <w:num w:numId="10" w16cid:durableId="1051536430">
    <w:abstractNumId w:val="5"/>
  </w:num>
  <w:num w:numId="11" w16cid:durableId="14345216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1AF"/>
    <w:rsid w:val="00450320"/>
    <w:rsid w:val="007568C5"/>
    <w:rsid w:val="008914D5"/>
    <w:rsid w:val="00D111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6F728"/>
  <w15:docId w15:val="{2757165D-7F7F-4003-96E6-28D5AC60E2B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after="120"/>
      <w:jc w:val="both"/>
    </w:pPr>
    <w:rPr>
      <w:rFonts w:ascii="Times New Roman" w:hAnsi="Times New Roman"/>
      <w:sz w:val="24"/>
    </w:rPr>
  </w:style>
  <w:style w:type="paragraph" w:styleId="Heading1">
    <w:name w:val="heading 1"/>
    <w:basedOn w:val="Normal"/>
    <w:next w:val="Normal"/>
    <w:uiPriority w:val="9"/>
    <w:qFormat/>
    <w:pPr>
      <w:keepNext/>
      <w:keepLines/>
      <w:spacing w:before="160" w:after="120" w:line="360" w:lineRule="auto"/>
      <w:jc w:val="center"/>
      <w:outlineLvl w:val="0"/>
    </w:pPr>
    <w:rPr>
      <w:rFonts w:ascii="Times New Roman" w:hAnsi="Times New Roman"/>
      <w:b/>
      <w:bCs/>
      <w:i w:val="0"/>
      <w:color w:val="000000"/>
      <w:sz w:val="28"/>
      <w:szCs w:val="48"/>
    </w:rPr>
  </w:style>
  <w:style w:type="paragraph" w:styleId="Heading2">
    <w:name w:val="heading 2"/>
    <w:basedOn w:val="Normal"/>
    <w:next w:val="Normal"/>
    <w:uiPriority w:val="9"/>
    <w:semiHidden/>
    <w:unhideWhenUsed/>
    <w:qFormat/>
    <w:pPr>
      <w:keepNext/>
      <w:keepLines/>
      <w:spacing w:before="160" w:after="120" w:line="360" w:lineRule="auto"/>
      <w:jc w:val="left"/>
      <w:outlineLvl w:val="1"/>
    </w:pPr>
    <w:rPr>
      <w:rFonts w:ascii="Times New Roman" w:hAnsi="Times New Roman"/>
      <w:b/>
      <w:bCs/>
      <w:i w:val="0"/>
      <w:color w:val="000000"/>
      <w:sz w:val="26"/>
      <w:szCs w:val="36"/>
    </w:rPr>
  </w:style>
  <w:style w:type="paragraph" w:styleId="Heading3">
    <w:name w:val="heading 3"/>
    <w:basedOn w:val="Normal"/>
    <w:next w:val="Normal"/>
    <w:uiPriority w:val="9"/>
    <w:semiHidden/>
    <w:unhideWhenUsed/>
    <w:qFormat/>
    <w:pPr>
      <w:keepNext/>
      <w:keepLines/>
      <w:spacing w:before="160" w:after="120" w:line="360" w:lineRule="auto"/>
      <w:jc w:val="left"/>
      <w:outlineLvl w:val="2"/>
    </w:pPr>
    <w:rPr>
      <w:rFonts w:ascii="Times New Roman" w:hAnsi="Times New Roman"/>
      <w:b/>
      <w:bCs/>
      <w:i/>
      <w:color w:val="000000"/>
      <w:sz w:val="24"/>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59"/>
    <w:rsid w:val="00152AB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2ABB"/>
    <w:pPr>
      <w:tabs>
        <w:tab w:val="center" w:pos="4513"/>
        <w:tab w:val="right" w:pos="9026"/>
      </w:tabs>
    </w:pPr>
  </w:style>
  <w:style w:type="character" w:customStyle="1" w:styleId="HeaderChar">
    <w:name w:val="Header Char"/>
    <w:basedOn w:val="DefaultParagraphFont"/>
    <w:link w:val="Header"/>
    <w:uiPriority w:val="99"/>
    <w:rsid w:val="00152ABB"/>
    <w:rPr>
      <w:rFonts w:ascii="Times New Roman" w:eastAsia="Batang" w:hAnsi="Times New Roman" w:cs="Times New Roman"/>
      <w:sz w:val="24"/>
      <w:szCs w:val="24"/>
      <w:lang w:val="en-US" w:eastAsia="ko-KR"/>
    </w:rPr>
  </w:style>
  <w:style w:type="paragraph" w:styleId="Footer">
    <w:name w:val="footer"/>
    <w:basedOn w:val="Normal"/>
    <w:link w:val="FooterChar"/>
    <w:uiPriority w:val="99"/>
    <w:unhideWhenUsed/>
    <w:rsid w:val="00152ABB"/>
    <w:pPr>
      <w:tabs>
        <w:tab w:val="center" w:pos="4513"/>
        <w:tab w:val="right" w:pos="9026"/>
      </w:tabs>
    </w:pPr>
  </w:style>
  <w:style w:type="character" w:customStyle="1" w:styleId="FooterChar">
    <w:name w:val="Footer Char"/>
    <w:basedOn w:val="DefaultParagraphFont"/>
    <w:link w:val="Footer"/>
    <w:uiPriority w:val="99"/>
    <w:rsid w:val="00152ABB"/>
    <w:rPr>
      <w:rFonts w:ascii="Times New Roman" w:eastAsia="Batang" w:hAnsi="Times New Roman" w:cs="Times New Roman"/>
      <w:sz w:val="24"/>
      <w:szCs w:val="24"/>
      <w:lang w:val="en-US" w:eastAsia="ko-KR"/>
    </w:rPr>
  </w:style>
  <w:style w:type="paragraph" w:styleId="ListParagraph">
    <w:name w:val="List Paragraph"/>
    <w:basedOn w:val="Normal"/>
    <w:uiPriority w:val="34"/>
    <w:qFormat/>
    <w:rsid w:val="00F543E3"/>
    <w:pPr>
      <w:ind w:left="720"/>
      <w:contextualSpacing/>
    </w:pPr>
  </w:style>
  <w:style w:type="character" w:styleId="CommentReference">
    <w:name w:val="annotation reference"/>
    <w:basedOn w:val="DefaultParagraphFont"/>
    <w:uiPriority w:val="99"/>
    <w:semiHidden/>
    <w:unhideWhenUsed/>
    <w:rsid w:val="00601901"/>
    <w:rPr>
      <w:sz w:val="16"/>
      <w:szCs w:val="16"/>
    </w:rPr>
  </w:style>
  <w:style w:type="paragraph" w:styleId="CommentText">
    <w:name w:val="annotation text"/>
    <w:basedOn w:val="Normal"/>
    <w:link w:val="CommentTextChar"/>
    <w:uiPriority w:val="99"/>
    <w:unhideWhenUsed/>
    <w:rsid w:val="00601901"/>
    <w:rPr>
      <w:sz w:val="20"/>
      <w:szCs w:val="20"/>
    </w:rPr>
  </w:style>
  <w:style w:type="character" w:customStyle="1" w:styleId="CommentTextChar">
    <w:name w:val="Comment Text Char"/>
    <w:basedOn w:val="DefaultParagraphFont"/>
    <w:link w:val="CommentText"/>
    <w:uiPriority w:val="99"/>
    <w:rsid w:val="00601901"/>
    <w:rPr>
      <w:rFonts w:ascii="Times New Roman" w:eastAsia="Batang" w:hAnsi="Times New Roman" w:cs="Times New Roman"/>
      <w:sz w:val="20"/>
      <w:szCs w:val="20"/>
      <w:lang w:val="en-US" w:eastAsia="ko-KR"/>
    </w:rPr>
  </w:style>
  <w:style w:type="paragraph" w:styleId="CommentSubject">
    <w:name w:val="annotation subject"/>
    <w:basedOn w:val="CommentText"/>
    <w:next w:val="CommentText"/>
    <w:link w:val="CommentSubjectChar"/>
    <w:uiPriority w:val="99"/>
    <w:semiHidden/>
    <w:unhideWhenUsed/>
    <w:rsid w:val="00601901"/>
    <w:rPr>
      <w:b/>
      <w:bCs/>
    </w:rPr>
  </w:style>
  <w:style w:type="character" w:customStyle="1" w:styleId="CommentSubjectChar">
    <w:name w:val="Comment Subject Char"/>
    <w:basedOn w:val="CommentTextChar"/>
    <w:link w:val="CommentSubject"/>
    <w:uiPriority w:val="99"/>
    <w:semiHidden/>
    <w:rsid w:val="00601901"/>
    <w:rPr>
      <w:rFonts w:ascii="Times New Roman" w:eastAsia="Batang" w:hAnsi="Times New Roman" w:cs="Times New Roman"/>
      <w:b/>
      <w:bCs/>
      <w:sz w:val="20"/>
      <w:szCs w:val="20"/>
      <w:lang w:val="en-US" w:eastAsia="ko-KR"/>
    </w:rPr>
  </w:style>
  <w:style w:type="paragraph" w:styleId="Revision">
    <w:name w:val="Revision"/>
    <w:hidden/>
    <w:uiPriority w:val="99"/>
    <w:semiHidden/>
    <w:rsid w:val="00601901"/>
    <w:rPr>
      <w:rFonts w:eastAsia="Batang"/>
      <w:lang w:val="en-US" w:eastAsia="ko-KR"/>
    </w:rPr>
  </w:style>
  <w:style w:type="paragraph" w:styleId="BalloonText">
    <w:name w:val="Balloon Text"/>
    <w:basedOn w:val="Normal"/>
    <w:link w:val="BalloonTextChar"/>
    <w:uiPriority w:val="99"/>
    <w:semiHidden/>
    <w:unhideWhenUsed/>
    <w:rsid w:val="001A57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57F2"/>
    <w:rPr>
      <w:rFonts w:ascii="Segoe UI" w:eastAsia="Batang" w:hAnsi="Segoe UI" w:cs="Segoe UI"/>
      <w:sz w:val="18"/>
      <w:szCs w:val="18"/>
      <w:lang w:val="en-US" w:eastAsia="ko-KR"/>
    </w:rPr>
  </w:style>
  <w:style w:type="paragraph" w:styleId="BodyText">
    <w:name w:val="Body Text"/>
    <w:basedOn w:val="Normal"/>
    <w:link w:val="BodyTextChar"/>
    <w:uiPriority w:val="1"/>
    <w:qFormat/>
    <w:rsid w:val="00E846AA"/>
    <w:pPr>
      <w:widowControl w:val="0"/>
      <w:autoSpaceDE w:val="0"/>
      <w:autoSpaceDN w:val="0"/>
    </w:pPr>
    <w:rPr>
      <w:lang w:eastAsia="en-US"/>
    </w:rPr>
  </w:style>
  <w:style w:type="character" w:customStyle="1" w:styleId="BodyTextChar">
    <w:name w:val="Body Text Char"/>
    <w:basedOn w:val="DefaultParagraphFont"/>
    <w:link w:val="BodyText"/>
    <w:uiPriority w:val="1"/>
    <w:rsid w:val="00E846AA"/>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8E45F7"/>
    <w:pPr>
      <w:spacing w:before="100" w:beforeAutospacing="1" w:after="100" w:afterAutospacing="1"/>
    </w:pPr>
  </w:style>
  <w:style w:type="character" w:styleId="Strong">
    <w:name w:val="Strong"/>
    <w:basedOn w:val="DefaultParagraphFont"/>
    <w:uiPriority w:val="22"/>
    <w:qFormat/>
    <w:rsid w:val="00442BA0"/>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AlQh3DMH50b9E8GDrbriuD8yRA==">CgMxLjAyDmguZDR5czA0b216ZmpuOAByITFNX1lHTHNYUUF2Tkg1bmkxMnNaaG9NeXRQVFdOWXZOZQ==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2761</Words>
  <Characters>15742</Characters>
  <Application>Microsoft Office Word</Application>
  <DocSecurity>0</DocSecurity>
  <Lines>131</Lines>
  <Paragraphs>36</Paragraphs>
  <ScaleCrop>false</ScaleCrop>
  <Company/>
  <LinksUpToDate>false</LinksUpToDate>
  <CharactersWithSpaces>18467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Aakaash Sathya Saravanan; Mitisha Sharma; Tanmay Khambete</dc:creator>
  <cp:lastModifiedBy>Parthasarathy G</cp:lastModifiedBy>
  <cp:revision>2</cp:revision>
  <dcterms:created xsi:type="dcterms:W3CDTF">2024-09-03T09:32:00Z</dcterms:created>
  <dcterms:modified xsi:type="dcterms:W3CDTF">2026-08-24T11:47:00Z</dcterms:modified>
  <dc:title>Object-Centric Event Log Mining for Academic Capstone Processes: A Native OCEL 2.0 Approach</dc:title>
  <dc:subject>BCSE497J Project-I — Review 2 Initial Draft</dc:subject>
  <cp:keywords>OCEL 2.0, object-centric process mining, capstone, synthetic event logs, conformance, digital twin</cp:keywords>
</cp:coreProperties>
</file>