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00" w:lineRule="auto"/>
        <w:jc w:val="left"/>
      </w:pPr>
      <w:r>
        <w:rPr>
          <w:rFonts w:ascii="Calibri" w:hAnsi="Calibri"/>
          <w:b/>
          <w:i w:val="0"/>
          <w:color w:val="9A6B00"/>
          <w:sz w:val="20"/>
        </w:rPr>
        <w:t>REVIEW 2 FIELD GUIDE</w:t>
      </w:r>
    </w:p>
    <w:p>
      <w:pPr>
        <w:keepNext w:val="0"/>
        <w:spacing w:before="0" w:after="100" w:line="252" w:lineRule="auto"/>
        <w:jc w:val="left"/>
      </w:pPr>
      <w:r>
        <w:rPr>
          <w:rFonts w:ascii="Calibri" w:hAnsi="Calibri"/>
          <w:b/>
          <w:i w:val="0"/>
          <w:color w:val="102A43"/>
          <w:sz w:val="56"/>
        </w:rPr>
        <w:t>Explain the OCEL Capstone Project</w:t>
      </w:r>
    </w:p>
    <w:p>
      <w:pPr>
        <w:keepNext w:val="0"/>
        <w:spacing w:before="0" w:after="300" w:line="276" w:lineRule="auto"/>
        <w:jc w:val="left"/>
      </w:pPr>
      <w:r>
        <w:rPr>
          <w:rFonts w:ascii="Calibri" w:hAnsi="Calibri"/>
          <w:b w:val="0"/>
          <w:i w:val="0"/>
          <w:color w:val="5B6573"/>
          <w:sz w:val="28"/>
        </w:rPr>
        <w:t>A slide-by-slide speaking script, demo runbook, and viva defence guide</w:t>
      </w:r>
    </w:p>
    <w:p>
      <w:pPr>
        <w:keepNext w:val="0"/>
        <w:spacing w:before="0" w:after="40" w:line="300" w:lineRule="auto"/>
        <w:jc w:val="left"/>
      </w:pPr>
      <w:r>
        <w:rPr>
          <w:rFonts w:ascii="Calibri" w:hAnsi="Calibri"/>
          <w:b/>
          <w:i w:val="0"/>
          <w:color w:val="17212B"/>
          <w:sz w:val="21"/>
        </w:rPr>
        <w:t>Team 1  •  Aakaash Sathya Saravanan  •  Mitisha Sharma  •  Tanmay Khambete</w:t>
      </w:r>
    </w:p>
    <w:p>
      <w:pPr>
        <w:keepNext w:val="0"/>
        <w:spacing w:before="0" w:after="280" w:line="300" w:lineRule="auto"/>
        <w:jc w:val="left"/>
      </w:pPr>
      <w:r>
        <w:rPr>
          <w:rFonts w:ascii="Calibri" w:hAnsi="Calibri"/>
          <w:b w:val="0"/>
          <w:i w:val="0"/>
          <w:color w:val="5B6573"/>
          <w:sz w:val="20"/>
        </w:rPr>
        <w:t>Faculty guide: Dr. Kalyanaraman P  |  Project-I: BCSE497J</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tcMar>
              <w:top w:w="80" w:type="dxa"/>
              <w:start w:w="120" w:type="dxa"/>
              <w:bottom w:w="80" w:type="dxa"/>
              <w:end w:w="120" w:type="dxa"/>
            </w:tcMar>
            <w:vAlign w:val="center"/>
            <w:shd w:fill="E8EEF5"/>
          </w:tcPr>
          <w:p>
            <w:pPr>
              <w:keepNext w:val="0"/>
              <w:spacing w:before="0" w:after="0" w:line="252" w:lineRule="auto"/>
              <w:jc w:val="center"/>
            </w:pPr>
            <w:r>
              <w:rPr>
                <w:rFonts w:ascii="Calibri" w:hAnsi="Calibri"/>
                <w:b/>
                <w:i w:val="0"/>
                <w:color w:val="102A43"/>
                <w:sz w:val="34"/>
              </w:rPr>
              <w:t>13</w:t>
              <w:br/>
            </w:r>
            <w:r>
              <w:rPr>
                <w:rFonts w:ascii="Calibri" w:hAnsi="Calibri"/>
                <w:b/>
                <w:i w:val="0"/>
                <w:color w:val="5B6573"/>
                <w:sz w:val="17"/>
              </w:rPr>
              <w:t>slides</w:t>
            </w:r>
          </w:p>
        </w:tc>
        <w:tc>
          <w:tcPr>
            <w:tcW w:type="dxa" w:w="2340"/>
            <w:tcMar>
              <w:top w:w="80" w:type="dxa"/>
              <w:start w:w="120" w:type="dxa"/>
              <w:bottom w:w="80" w:type="dxa"/>
              <w:end w:w="120" w:type="dxa"/>
            </w:tcMar>
            <w:vAlign w:val="center"/>
            <w:shd w:fill="E8EEF5"/>
          </w:tcPr>
          <w:p>
            <w:pPr>
              <w:keepNext w:val="0"/>
              <w:spacing w:before="0" w:after="0" w:line="252" w:lineRule="auto"/>
              <w:jc w:val="center"/>
            </w:pPr>
            <w:r>
              <w:rPr>
                <w:rFonts w:ascii="Calibri" w:hAnsi="Calibri"/>
                <w:b/>
                <w:i w:val="0"/>
                <w:color w:val="102A43"/>
                <w:sz w:val="34"/>
              </w:rPr>
              <w:t>7–8</w:t>
              <w:br/>
            </w:r>
            <w:r>
              <w:rPr>
                <w:rFonts w:ascii="Calibri" w:hAnsi="Calibri"/>
                <w:b/>
                <w:i w:val="0"/>
                <w:color w:val="5B6573"/>
                <w:sz w:val="17"/>
              </w:rPr>
              <w:t>minutes speaking</w:t>
            </w:r>
          </w:p>
        </w:tc>
        <w:tc>
          <w:tcPr>
            <w:tcW w:type="dxa" w:w="2340"/>
            <w:tcMar>
              <w:top w:w="80" w:type="dxa"/>
              <w:start w:w="120" w:type="dxa"/>
              <w:bottom w:w="80" w:type="dxa"/>
              <w:end w:w="120" w:type="dxa"/>
            </w:tcMar>
            <w:vAlign w:val="center"/>
            <w:shd w:fill="E8EEF5"/>
          </w:tcPr>
          <w:p>
            <w:pPr>
              <w:keepNext w:val="0"/>
              <w:spacing w:before="0" w:after="0" w:line="252" w:lineRule="auto"/>
              <w:jc w:val="center"/>
            </w:pPr>
            <w:r>
              <w:rPr>
                <w:rFonts w:ascii="Calibri" w:hAnsi="Calibri"/>
                <w:b/>
                <w:i w:val="0"/>
                <w:color w:val="102A43"/>
                <w:sz w:val="34"/>
              </w:rPr>
              <w:t>5–7</w:t>
              <w:br/>
            </w:r>
            <w:r>
              <w:rPr>
                <w:rFonts w:ascii="Calibri" w:hAnsi="Calibri"/>
                <w:b/>
                <w:i w:val="0"/>
                <w:color w:val="5B6573"/>
                <w:sz w:val="17"/>
              </w:rPr>
              <w:t>minutes demo</w:t>
            </w:r>
          </w:p>
        </w:tc>
        <w:tc>
          <w:tcPr>
            <w:tcW w:type="dxa" w:w="2340"/>
            <w:tcMar>
              <w:top w:w="80" w:type="dxa"/>
              <w:start w:w="120" w:type="dxa"/>
              <w:bottom w:w="80" w:type="dxa"/>
              <w:end w:w="120" w:type="dxa"/>
            </w:tcMar>
            <w:vAlign w:val="center"/>
            <w:shd w:fill="FFF2CC"/>
          </w:tcPr>
          <w:p>
            <w:pPr>
              <w:keepNext w:val="0"/>
              <w:spacing w:before="0" w:after="0" w:line="252" w:lineRule="auto"/>
              <w:jc w:val="center"/>
            </w:pPr>
            <w:r>
              <w:rPr>
                <w:rFonts w:ascii="Calibri" w:hAnsi="Calibri"/>
                <w:b/>
                <w:i w:val="0"/>
                <w:color w:val="102A43"/>
                <w:sz w:val="34"/>
              </w:rPr>
              <w:t>67%</w:t>
              <w:br/>
            </w:r>
            <w:r>
              <w:rPr>
                <w:rFonts w:ascii="Calibri" w:hAnsi="Calibri"/>
                <w:b/>
                <w:i w:val="0"/>
                <w:color w:val="5B6573"/>
                <w:sz w:val="17"/>
              </w:rPr>
              <w:t>Review 2 scope</w:t>
            </w:r>
          </w:p>
        </w:tc>
      </w:tr>
    </w:tbl>
    <w:p>
      <w:pPr>
        <w:pStyle w:val="Heading1"/>
      </w:pPr>
      <w:r>
        <w:t>The one-sentence pitch</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2F0D9"/>
          </w:tcPr>
          <w:p>
            <w:pPr>
              <w:keepNext w:val="0"/>
              <w:spacing w:before="0" w:after="0" w:line="283" w:lineRule="auto"/>
            </w:pPr>
            <w:r>
              <w:rPr>
                <w:rFonts w:ascii="Calibri" w:hAnsi="Calibri"/>
                <w:b/>
                <w:i w:val="0"/>
                <w:color w:val="1F4D78"/>
                <w:sz w:val="21"/>
              </w:rPr>
              <w:t xml:space="preserve">MEMORIZE  </w:t>
            </w:r>
            <w:r>
              <w:rPr>
                <w:rFonts w:ascii="Calibri" w:hAnsi="Calibri"/>
                <w:b w:val="0"/>
                <w:i w:val="0"/>
                <w:color w:val="17212B"/>
                <w:sz w:val="21"/>
              </w:rPr>
              <w:t>Educational Capstone Portal capstone work is not one linear case: the same submission, review, score, student, faculty member, and report version interact across several lifecycles, so we model the process natively in OCEL 2.0 instead of losing those relationships through flattening.</w:t>
            </w:r>
          </w:p>
        </w:tc>
      </w:tr>
    </w:tbl>
    <w:p>
      <w:pPr>
        <w:keepNext w:val="0"/>
        <w:spacing w:before="0" w:after="60" w:line="240" w:lineRule="auto"/>
        <w:jc w:val="left"/>
      </w:pPr>
      <w:r>
        <w:rPr>
          <w:rFonts w:ascii="Calibri" w:hAnsi="Calibri"/>
          <w:b w:val="0"/>
          <w:i w:val="0"/>
          <w:color w:val="17212B"/>
          <w:sz w:val="2"/>
        </w:rPr>
      </w:r>
    </w:p>
    <w:p>
      <w:pPr>
        <w:pStyle w:val="Heading2"/>
      </w:pPr>
      <w:r>
        <w:t>How to use this guide</w:t>
      </w:r>
    </w:p>
    <w:p>
      <w:pPr>
        <w:keepNext w:val="0"/>
        <w:numPr>
          <w:ilvl w:val="0"/>
          <w:numId w:val="11"/>
        </w:numPr>
        <w:spacing w:before="0" w:after="80" w:line="300" w:lineRule="auto"/>
      </w:pPr>
      <w:r>
        <w:rPr>
          <w:rFonts w:ascii="Calibri" w:hAnsi="Calibri"/>
          <w:b w:val="0"/>
          <w:i w:val="0"/>
          <w:color w:val="17212B"/>
          <w:sz w:val="22"/>
        </w:rPr>
        <w:t>Rehearse the opening and closing nearly word-for-word; keep the middle conversational.</w:t>
      </w:r>
    </w:p>
    <w:p>
      <w:pPr>
        <w:keepNext w:val="0"/>
        <w:numPr>
          <w:ilvl w:val="0"/>
          <w:numId w:val="11"/>
        </w:numPr>
        <w:spacing w:before="0" w:after="80" w:line="300" w:lineRule="auto"/>
      </w:pPr>
      <w:r>
        <w:rPr>
          <w:rFonts w:ascii="Calibri" w:hAnsi="Calibri"/>
          <w:b w:val="0"/>
          <w:i w:val="0"/>
          <w:color w:val="17212B"/>
          <w:sz w:val="22"/>
        </w:rPr>
        <w:t>For every result, state the evidence, its meaning, its limitation, and the next validation step.</w:t>
      </w:r>
    </w:p>
    <w:p>
      <w:pPr>
        <w:keepNext w:val="0"/>
        <w:numPr>
          <w:ilvl w:val="0"/>
          <w:numId w:val="11"/>
        </w:numPr>
        <w:spacing w:before="0" w:after="80" w:line="300" w:lineRule="auto"/>
      </w:pPr>
      <w:r>
        <w:rPr>
          <w:rFonts w:ascii="Calibri" w:hAnsi="Calibri"/>
          <w:b w:val="0"/>
          <w:i w:val="0"/>
          <w:color w:val="17212B"/>
          <w:sz w:val="22"/>
        </w:rPr>
        <w:t>During Q&amp;A, answer the question in the first sentence, then add supporting detail.</w:t>
      </w:r>
    </w:p>
    <w:p>
      <w:pPr>
        <w:keepNext w:val="0"/>
        <w:numPr>
          <w:ilvl w:val="0"/>
          <w:numId w:val="11"/>
        </w:numPr>
        <w:spacing w:before="0" w:after="80" w:line="300" w:lineRule="auto"/>
      </w:pPr>
      <w:r>
        <w:rPr>
          <w:rFonts w:ascii="Calibri" w:hAnsi="Calibri"/>
          <w:b w:val="0"/>
          <w:i w:val="0"/>
          <w:color w:val="17212B"/>
          <w:sz w:val="22"/>
        </w:rPr>
        <w:t>Never describe synthetic numbers as observed Educational Capstone Portal performance.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CE4D6"/>
          </w:tcPr>
          <w:p>
            <w:pPr>
              <w:keepNext w:val="0"/>
              <w:spacing w:before="0" w:after="0" w:line="283" w:lineRule="auto"/>
            </w:pPr>
            <w:r>
              <w:rPr>
                <w:rFonts w:ascii="Calibri" w:hAnsi="Calibri"/>
                <w:b/>
                <w:i w:val="0"/>
                <w:color w:val="9B1C1C"/>
                <w:sz w:val="21"/>
              </w:rPr>
              <w:t xml:space="preserve">NON-NEGOTIABLE  </w:t>
            </w:r>
            <w:r>
              <w:rPr>
                <w:rFonts w:ascii="Calibri" w:hAnsi="Calibri"/>
                <w:b w:val="0"/>
                <w:i w:val="0"/>
                <w:color w:val="17212B"/>
                <w:sz w:val="21"/>
              </w:rPr>
              <w:t>The current package is a reproducible proof of mechanism. It contains no production Educational Capstone Portal logs, no real capstone PDFs, and no measured institutional outcomes.</w:t>
            </w:r>
          </w:p>
        </w:tc>
      </w:tr>
    </w:tbl>
    <w:p>
      <w:pPr>
        <w:keepNext w:val="0"/>
        <w:spacing w:before="0" w:after="60" w:line="240" w:lineRule="auto"/>
        <w:jc w:val="left"/>
      </w:pPr>
      <w:r>
        <w:rPr>
          <w:rFonts w:ascii="Calibri" w:hAnsi="Calibri"/>
          <w:b w:val="0"/>
          <w:i w:val="0"/>
          <w:color w:val="17212B"/>
          <w:sz w:val="2"/>
        </w:rPr>
      </w:r>
    </w:p>
    <w:p>
      <w:pPr>
        <w:pageBreakBefore/>
        <w:spacing w:before="0" w:after="0" w:line="20" w:lineRule="exact"/>
      </w:pPr>
      <w:r>
        <w:rPr>
          <w:rFonts w:ascii="Calibri" w:hAnsi="Calibri"/>
          <w:b w:val="0"/>
          <w:i w:val="0"/>
          <w:color w:val="FFFFFF"/>
          <w:sz w:val="2"/>
        </w:rPr>
      </w:r>
    </w:p>
    <w:p>
      <w:pPr>
        <w:pStyle w:val="Heading1"/>
      </w:pPr>
      <w:r>
        <w:t>1. Understand the story before memorizing the slides</w:t>
      </w:r>
    </w:p>
    <w:p>
      <w:pPr>
        <w:keepNext w:val="0"/>
        <w:spacing w:before="0" w:after="120" w:line="300" w:lineRule="auto"/>
        <w:jc w:val="left"/>
      </w:pPr>
      <w:r>
        <w:rPr>
          <w:rFonts w:ascii="Calibri" w:hAnsi="Calibri"/>
          <w:b w:val="0"/>
          <w:i/>
          <w:color w:val="5B6573"/>
          <w:sz w:val="22"/>
        </w:rPr>
        <w:t>Use a four-part narrative. If a panel member interrupts, return to this chain.</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CE4D6"/>
          </w:tcPr>
          <w:p>
            <w:pPr>
              <w:keepNext w:val="0"/>
              <w:spacing w:before="0" w:after="0" w:line="283" w:lineRule="auto"/>
            </w:pPr>
            <w:r>
              <w:rPr>
                <w:rFonts w:ascii="Calibri" w:hAnsi="Calibri"/>
                <w:b/>
                <w:i w:val="0"/>
                <w:color w:val="102A43"/>
                <w:sz w:val="21"/>
              </w:rPr>
              <w:t xml:space="preserve">1  PROBLEM  </w:t>
            </w:r>
            <w:r>
              <w:rPr>
                <w:rFonts w:ascii="Calibri" w:hAnsi="Calibri"/>
                <w:b w:val="0"/>
                <w:i w:val="0"/>
                <w:color w:val="17212B"/>
                <w:sz w:val="21"/>
              </w:rPr>
              <w:t>Traditional process mining usually assumes one case identifier. Capstone events belong to several connected entities, so choosing only Project or Student as the case hides useful relationships.</w:t>
            </w:r>
          </w:p>
        </w:tc>
      </w:tr>
    </w:tbl>
    <w:p>
      <w:pPr>
        <w:keepNext w:val="0"/>
        <w:spacing w:before="0" w:after="60" w:line="240" w:lineRule="auto"/>
        <w:jc w:val="left"/>
      </w:pPr>
      <w:r>
        <w:rPr>
          <w:rFonts w:ascii="Calibri" w:hAnsi="Calibri"/>
          <w:b w:val="0"/>
          <w:i w:val="0"/>
          <w:color w:val="17212B"/>
          <w:sz w:val="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8EEF5"/>
          </w:tcPr>
          <w:p>
            <w:pPr>
              <w:keepNext w:val="0"/>
              <w:spacing w:before="0" w:after="0" w:line="283" w:lineRule="auto"/>
            </w:pPr>
            <w:r>
              <w:rPr>
                <w:rFonts w:ascii="Calibri" w:hAnsi="Calibri"/>
                <w:b/>
                <w:i w:val="0"/>
                <w:color w:val="102A43"/>
                <w:sz w:val="21"/>
              </w:rPr>
              <w:t xml:space="preserve">2  METHOD  </w:t>
            </w:r>
            <w:r>
              <w:rPr>
                <w:rFonts w:ascii="Calibri" w:hAnsi="Calibri"/>
                <w:b w:val="0"/>
                <w:i w:val="0"/>
                <w:color w:val="17212B"/>
                <w:sz w:val="21"/>
              </w:rPr>
              <w:t>Translate documented Educational Capstone Portal states and gaps into an OCEL 2.0 object model, reproducible synthetic scenarios, validation rules, and comparison experiments.</w:t>
            </w:r>
          </w:p>
        </w:tc>
      </w:tr>
    </w:tbl>
    <w:p>
      <w:pPr>
        <w:keepNext w:val="0"/>
        <w:spacing w:before="0" w:after="60" w:line="240" w:lineRule="auto"/>
        <w:jc w:val="left"/>
      </w:pPr>
      <w:r>
        <w:rPr>
          <w:rFonts w:ascii="Calibri" w:hAnsi="Calibri"/>
          <w:b w:val="0"/>
          <w:i w:val="0"/>
          <w:color w:val="17212B"/>
          <w:sz w:val="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2CC"/>
          </w:tcPr>
          <w:p>
            <w:pPr>
              <w:keepNext w:val="0"/>
              <w:spacing w:before="0" w:after="0" w:line="283" w:lineRule="auto"/>
            </w:pPr>
            <w:r>
              <w:rPr>
                <w:rFonts w:ascii="Calibri" w:hAnsi="Calibri"/>
                <w:b/>
                <w:i w:val="0"/>
                <w:color w:val="102A43"/>
                <w:sz w:val="21"/>
              </w:rPr>
              <w:t xml:space="preserve">3  EVIDENCE  </w:t>
            </w:r>
            <w:r>
              <w:rPr>
                <w:rFonts w:ascii="Calibri" w:hAnsi="Calibri"/>
                <w:b w:val="0"/>
                <w:i w:val="0"/>
                <w:color w:val="17212B"/>
                <w:sz w:val="21"/>
              </w:rPr>
              <w:t>Show integrity checks, relation-retention loss under flattening, cross-object observability, anomaly-rule performance, a next-event baseline, and offline interventions.</w:t>
            </w:r>
          </w:p>
        </w:tc>
      </w:tr>
    </w:tbl>
    <w:p>
      <w:pPr>
        <w:keepNext w:val="0"/>
        <w:spacing w:before="0" w:after="60" w:line="240" w:lineRule="auto"/>
        <w:jc w:val="left"/>
      </w:pPr>
      <w:r>
        <w:rPr>
          <w:rFonts w:ascii="Calibri" w:hAnsi="Calibri"/>
          <w:b w:val="0"/>
          <w:i w:val="0"/>
          <w:color w:val="17212B"/>
          <w:sz w:val="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2F0D9"/>
          </w:tcPr>
          <w:p>
            <w:pPr>
              <w:keepNext w:val="0"/>
              <w:spacing w:before="0" w:after="0" w:line="283" w:lineRule="auto"/>
            </w:pPr>
            <w:r>
              <w:rPr>
                <w:rFonts w:ascii="Calibri" w:hAnsi="Calibri"/>
                <w:b/>
                <w:i w:val="0"/>
                <w:color w:val="102A43"/>
                <w:sz w:val="21"/>
              </w:rPr>
              <w:t xml:space="preserve">4  NEXT  </w:t>
            </w:r>
            <w:r>
              <w:rPr>
                <w:rFonts w:ascii="Calibri" w:hAnsi="Calibri"/>
                <w:b w:val="0"/>
                <w:i w:val="0"/>
                <w:color w:val="17212B"/>
                <w:sz w:val="21"/>
              </w:rPr>
              <w:t>Replace assumptions with de-identified logs, independent expert labels, PM4Py object-centric discovery/conformance, stronger models, and calibrated simulation.</w:t>
            </w:r>
          </w:p>
        </w:tc>
      </w:tr>
    </w:tbl>
    <w:p>
      <w:pPr>
        <w:keepNext w:val="0"/>
        <w:spacing w:before="0" w:after="60" w:line="240" w:lineRule="auto"/>
        <w:jc w:val="left"/>
      </w:pPr>
      <w:r>
        <w:rPr>
          <w:rFonts w:ascii="Calibri" w:hAnsi="Calibri"/>
          <w:b w:val="0"/>
          <w:i w:val="0"/>
          <w:color w:val="17212B"/>
          <w:sz w:val="2"/>
        </w:rPr>
      </w:r>
    </w:p>
    <w:p>
      <w:pPr>
        <w:pStyle w:val="Heading2"/>
      </w:pPr>
      <w:r>
        <w:t>Vocabulary in plain language</w:t>
      </w:r>
    </w:p>
    <w:tbl>
      <w:tblPr>
        <w:tblW w:type="dxa" w:w="9360"/>
        <w:tblLayout w:type="fixed"/>
        <w:tblLook w:firstColumn="1" w:firstRow="1" w:lastColumn="0" w:lastRow="0" w:noHBand="0" w:noVBand="1" w:val="04A0"/>
        <w:jc w:val="left"/>
        <w:tblInd w:w="120" w:type="dxa"/>
      </w:tblPr>
      <w:tblGrid>
        <w:gridCol w:w="2000"/>
        <w:gridCol w:w="7360"/>
      </w:tblGrid>
      <w:tr>
        <w:trPr>
          <w:tblHeader w:val="true"/>
          <w:cantSplit/>
        </w:trPr>
        <w:tc>
          <w:tcPr>
            <w:tcW w:type="dxa" w:w="200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02A43"/>
                <w:sz w:val="19"/>
              </w:rPr>
              <w:t>Term</w:t>
            </w:r>
          </w:p>
        </w:tc>
        <w:tc>
          <w:tcPr>
            <w:tcW w:type="dxa" w:w="73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02A43"/>
                <w:sz w:val="19"/>
              </w:rPr>
              <w:t>What to say</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Event</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Something that happened, such as a report upload, verification, score entry, or approval.</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Object</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A persistent entity touched by events: Project, Team, Student, Faculty, ReportVersion, ReviewStage, or Score.</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E2O</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Event-to-Object relation: which objects participated in an event, with a role or qualifier.</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O2O</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Object-to-Object relation: stable links such as Student belongs to Team or Faculty guides Project.</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OCEL 2.0</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A standard log format that lets one event relate to multiple typed objects.</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Flattening</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Forcing the log into one chosen case notion. Convenient, but it may duplicate events or discard relationships.</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Conformance</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Checking observed behaviour against documented rules or allowed state transitions.</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COOC</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Study-specific Cross-Object Observability Coverage: the fraction of preregistered predicates a representation can answer correctly.</w:t>
            </w:r>
          </w:p>
        </w:tc>
      </w:tr>
      <w:tr>
        <w:trPr>
          <w:cantSplit/>
        </w:trPr>
        <w:tc>
          <w:tcPr>
            <w:tcW w:type="dxa" w:w="20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Digital twin</w:t>
            </w:r>
          </w:p>
        </w:tc>
        <w:tc>
          <w:tcPr>
            <w:tcW w:type="dxa" w:w="73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Here: an offline what-if simulator—not a live operational replica—used to compare policy assumptions safely.</w:t>
            </w:r>
          </w:p>
        </w:tc>
      </w:tr>
    </w:tbl>
    <w:p>
      <w:pPr>
        <w:pageBreakBefore/>
        <w:spacing w:before="0" w:after="0" w:line="20" w:lineRule="exact"/>
      </w:pPr>
      <w:r>
        <w:rPr>
          <w:rFonts w:ascii="Calibri" w:hAnsi="Calibri"/>
          <w:b w:val="0"/>
          <w:i w:val="0"/>
          <w:color w:val="FFFFFF"/>
          <w:sz w:val="2"/>
        </w:rPr>
      </w:r>
    </w:p>
    <w:p>
      <w:pPr>
        <w:pStyle w:val="Heading1"/>
      </w:pPr>
      <w:r>
        <w:t>2. Slides 1–4: establish the problem</w:t>
      </w:r>
    </w:p>
    <w:p>
      <w:pPr>
        <w:pStyle w:val="Heading2"/>
        <w:keepNext/>
      </w:pPr>
      <w:r>
        <w:rPr>
          <w:rFonts w:ascii="Calibri" w:hAnsi="Calibri"/>
          <w:b/>
          <w:i w:val="0"/>
          <w:color w:val="2E74B5"/>
          <w:sz w:val="26"/>
        </w:rPr>
        <w:t>Slide 1 — Title</w:t>
      </w:r>
      <w:r>
        <w:rPr>
          <w:rFonts w:ascii="Calibri" w:hAnsi="Calibri"/>
          <w:b/>
          <w:i w:val="0"/>
          <w:color w:val="9A6B00"/>
          <w:sz w:val="19"/>
        </w:rPr>
        <w:t xml:space="preserve">  ·  20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Good morning. We are Team 1. Our project is ‘Object-Centric Event Log Mining for Academic Capstone Processes: A Native OCEL 2.0 Approach.’ We study how to preserve and analyse the connected lifecycles of projects, students, faculty, review stages, report versions, and scores.</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Start with the domain problem, not with a definition of process mining.</w:t>
      </w:r>
    </w:p>
    <w:p>
      <w:pPr>
        <w:pStyle w:val="Heading2"/>
        <w:keepNext/>
      </w:pPr>
      <w:r>
        <w:rPr>
          <w:rFonts w:ascii="Calibri" w:hAnsi="Calibri"/>
          <w:b/>
          <w:i w:val="0"/>
          <w:color w:val="2E74B5"/>
          <w:sz w:val="26"/>
        </w:rPr>
        <w:t>Slide 2 — Guide approval</w:t>
      </w:r>
      <w:r>
        <w:rPr>
          <w:rFonts w:ascii="Calibri" w:hAnsi="Calibri"/>
          <w:b/>
          <w:i w:val="0"/>
          <w:color w:val="9A6B00"/>
          <w:sz w:val="19"/>
        </w:rPr>
        <w:t xml:space="preserve">  ·  10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This slide records our guide’s approval for the Review 2 presentation, prototype demonstration, initial draft report, and stated outcome.</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Insert the actual readable email screenshot before presenting.</w:t>
      </w:r>
    </w:p>
    <w:p>
      <w:pPr>
        <w:pStyle w:val="Heading2"/>
        <w:keepNext/>
      </w:pPr>
      <w:r>
        <w:rPr>
          <w:rFonts w:ascii="Calibri" w:hAnsi="Calibri"/>
          <w:b/>
          <w:i w:val="0"/>
          <w:color w:val="2E74B5"/>
          <w:sz w:val="26"/>
        </w:rPr>
        <w:t>Slide 3 — Aim</w:t>
      </w:r>
      <w:r>
        <w:rPr>
          <w:rFonts w:ascii="Calibri" w:hAnsi="Calibri"/>
          <w:b/>
          <w:i w:val="0"/>
          <w:color w:val="9A6B00"/>
          <w:sz w:val="19"/>
        </w:rPr>
        <w:t xml:space="preserve">  ·  35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Our aim is to model the documented Educational Capstone Portal capstone workflow in native OCEL 2.0. We preserve events shared across multiple objects, quantify what single-case flattening loses, detect documented state-machine deviations, and test transparent offline interventions. At Review 2, we validate the research pipeline on deterministic synthetic data because production logs are not yet available.</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Four verbs: preserve, quantify, detect, evaluate.</w:t>
      </w:r>
    </w:p>
    <w:p>
      <w:pPr>
        <w:pStyle w:val="Heading2"/>
        <w:keepNext/>
      </w:pPr>
      <w:r>
        <w:rPr>
          <w:rFonts w:ascii="Calibri" w:hAnsi="Calibri"/>
          <w:b/>
          <w:i w:val="0"/>
          <w:color w:val="2E74B5"/>
          <w:sz w:val="26"/>
        </w:rPr>
        <w:t>Slide 4 — Abstract</w:t>
      </w:r>
      <w:r>
        <w:rPr>
          <w:rFonts w:ascii="Calibri" w:hAnsi="Calibri"/>
          <w:b/>
          <w:i w:val="0"/>
          <w:color w:val="9A6B00"/>
          <w:sz w:val="19"/>
        </w:rPr>
        <w:t xml:space="preserve">  ·  45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 central problem is that one capstone event can concern a project, three students, a guide, a review stage, a report version, and a score at the same time. A conventional log must pick one case notion. Our pipeline instead maps Educational Capstone Portal documentation to qualified event–object and object–object relations, exports three seeded scenarios, validates the output, compares flattenings, applies six risk rules, predicts the next transition, and simulates two intervention types.</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End with: all current measurements are synthetic feasibility evidence.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2CC"/>
          </w:tcPr>
          <w:p>
            <w:pPr>
              <w:keepNext w:val="0"/>
              <w:spacing w:before="0" w:after="0" w:line="283" w:lineRule="auto"/>
            </w:pPr>
            <w:r>
              <w:rPr>
                <w:rFonts w:ascii="Calibri" w:hAnsi="Calibri"/>
                <w:b/>
                <w:i w:val="0"/>
                <w:color w:val="9A6B00"/>
                <w:sz w:val="21"/>
              </w:rPr>
              <w:t xml:space="preserve">TRANSITION  </w:t>
            </w:r>
            <w:r>
              <w:rPr>
                <w:rFonts w:ascii="Calibri" w:hAnsi="Calibri"/>
                <w:b w:val="0"/>
                <w:i w:val="0"/>
                <w:color w:val="17212B"/>
                <w:sz w:val="21"/>
              </w:rPr>
              <w:t>Now that the process problem is clear, the next question is whether prior research has already solved it.</w:t>
            </w:r>
          </w:p>
        </w:tc>
      </w:tr>
    </w:tbl>
    <w:p>
      <w:pPr>
        <w:keepNext w:val="0"/>
        <w:spacing w:before="0" w:after="60" w:line="240" w:lineRule="auto"/>
        <w:jc w:val="left"/>
      </w:pPr>
      <w:r>
        <w:rPr>
          <w:rFonts w:ascii="Calibri" w:hAnsi="Calibri"/>
          <w:b w:val="0"/>
          <w:i w:val="0"/>
          <w:color w:val="17212B"/>
          <w:sz w:val="2"/>
        </w:rPr>
      </w:r>
    </w:p>
    <w:p>
      <w:pPr>
        <w:pageBreakBefore/>
        <w:spacing w:before="0" w:after="0" w:line="20" w:lineRule="exact"/>
      </w:pPr>
      <w:r>
        <w:rPr>
          <w:rFonts w:ascii="Calibri" w:hAnsi="Calibri"/>
          <w:b w:val="0"/>
          <w:i w:val="0"/>
          <w:color w:val="FFFFFF"/>
          <w:sz w:val="2"/>
        </w:rPr>
      </w:r>
    </w:p>
    <w:p>
      <w:pPr>
        <w:pStyle w:val="Heading1"/>
      </w:pPr>
      <w:r>
        <w:t>3. Slides 5–7: defend the research gap</w:t>
      </w:r>
    </w:p>
    <w:p>
      <w:pPr>
        <w:pStyle w:val="Heading2"/>
        <w:keepNext/>
      </w:pPr>
      <w:r>
        <w:rPr>
          <w:rFonts w:ascii="Calibri" w:hAnsi="Calibri"/>
          <w:b/>
          <w:i w:val="0"/>
          <w:color w:val="2E74B5"/>
          <w:sz w:val="26"/>
        </w:rPr>
        <w:t>Slide 5 — Literature review</w:t>
      </w:r>
      <w:r>
        <w:rPr>
          <w:rFonts w:ascii="Calibri" w:hAnsi="Calibri"/>
          <w:b/>
          <w:i w:val="0"/>
          <w:color w:val="9A6B00"/>
          <w:sz w:val="19"/>
        </w:rPr>
        <w:t xml:space="preserve">  ·  50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 literature gives us five building blocks. Educational process mining establishes the value of event-log analysis. Object-centric process mining handles interacting entities. OCEL 2.0 provides the exchange model. Object-centric conformance and action-oriented process mining support analysis and intervention. Importantly, Miri and colleagues published a Moodle-based object-centric educational process-mining study in 2026, so we do not claim to be first in education.</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Acknowledging the 2026 paper makes the novelty claim more credible.</w:t>
      </w:r>
    </w:p>
    <w:p>
      <w:pPr>
        <w:pStyle w:val="Heading2"/>
        <w:keepNext/>
      </w:pPr>
      <w:r>
        <w:rPr>
          <w:rFonts w:ascii="Calibri" w:hAnsi="Calibri"/>
          <w:b/>
          <w:i w:val="0"/>
          <w:color w:val="2E74B5"/>
          <w:sz w:val="26"/>
        </w:rPr>
        <w:t>Slide 6 — Research gap</w:t>
      </w:r>
      <w:r>
        <w:rPr>
          <w:rFonts w:ascii="Calibri" w:hAnsi="Calibri"/>
          <w:b/>
          <w:i w:val="0"/>
          <w:color w:val="9A6B00"/>
          <w:sz w:val="19"/>
        </w:rPr>
        <w:t xml:space="preserve">  ·  55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Our narrower gap is the transactional capstone lifecycle. It combines versioned reports, formal verification states, immutable scores, attempt limits, team membership, reviewer roles, and guide capacity. We found no directly evaluated approach combining this domain model with a documentation-grounded normative–descriptive–adversarial benchmark, executable risk predicates, representation ablation, and offline interventions. We introduce COOC only as a study-specific metric of analysis readiness.</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Say ‘we found no directly evaluated combination,’ not ‘nobody has ever done this.’</w:t>
      </w:r>
    </w:p>
    <w:p>
      <w:pPr>
        <w:pStyle w:val="Heading2"/>
        <w:keepNext/>
      </w:pPr>
      <w:r>
        <w:rPr>
          <w:rFonts w:ascii="Calibri" w:hAnsi="Calibri"/>
          <w:b/>
          <w:i w:val="0"/>
          <w:color w:val="2E74B5"/>
          <w:sz w:val="26"/>
        </w:rPr>
        <w:t>Slide 7 — Objectives, SDGs and outcome</w:t>
      </w:r>
      <w:r>
        <w:rPr>
          <w:rFonts w:ascii="Calibri" w:hAnsi="Calibri"/>
          <w:b/>
          <w:i w:val="0"/>
          <w:color w:val="9A6B00"/>
          <w:sz w:val="19"/>
        </w:rPr>
        <w:t xml:space="preserve">  ·  45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 objectives are to export a validated OCEL mapping, measure relation loss across three flattenings, detect six documented gaps, evaluate cross-object observability, and establish forecasting and intervention baselines. The work supports SDG 4 through better academic-process visibility and SDG 9 through reusable data infrastructure. The intended outcome is a reusable prototype and a paper; the current prototype is TRL 4.</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TRL 4 means validated in a controlled environment, not deployed institutionally.</w:t>
      </w:r>
    </w:p>
    <w:p>
      <w:pPr>
        <w:pStyle w:val="Heading2"/>
      </w:pPr>
      <w:r>
        <w:t>Safe novelty language</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2F0D9"/>
          </w:tcPr>
          <w:p>
            <w:pPr>
              <w:keepNext w:val="0"/>
              <w:spacing w:before="0" w:after="0" w:line="259" w:lineRule="auto"/>
            </w:pPr>
            <w:r>
              <w:rPr>
                <w:rFonts w:ascii="Calibri" w:hAnsi="Calibri"/>
                <w:b/>
                <w:i w:val="0"/>
                <w:color w:val="1F4D78"/>
                <w:sz w:val="19"/>
              </w:rPr>
              <w:t xml:space="preserve">SAY  </w:t>
            </w:r>
            <w:r>
              <w:rPr>
                <w:rFonts w:ascii="Calibri" w:hAnsi="Calibri"/>
                <w:b w:val="0"/>
                <w:i w:val="0"/>
                <w:color w:val="17212B"/>
                <w:sz w:val="18"/>
              </w:rPr>
              <w:t>Native OCEL for transactional capstones; a documentation-grounded validation triad; and COOC as a study-specific representation test.</w:t>
            </w:r>
          </w:p>
        </w:tc>
        <w:tc>
          <w:tcPr>
            <w:tcW w:type="dxa" w:w="4680"/>
            <w:tcMar>
              <w:top w:w="80" w:type="dxa"/>
              <w:start w:w="120" w:type="dxa"/>
              <w:bottom w:w="80" w:type="dxa"/>
              <w:end w:w="120" w:type="dxa"/>
            </w:tcMar>
            <w:vAlign w:val="center"/>
            <w:shd w:fill="FCE4D6"/>
          </w:tcPr>
          <w:p>
            <w:pPr>
              <w:keepNext w:val="0"/>
              <w:spacing w:before="0" w:after="0" w:line="259" w:lineRule="auto"/>
            </w:pPr>
            <w:r>
              <w:rPr>
                <w:rFonts w:ascii="Calibri" w:hAnsi="Calibri"/>
                <w:b/>
                <w:i w:val="0"/>
                <w:color w:val="9B1C1C"/>
                <w:sz w:val="19"/>
              </w:rPr>
              <w:t xml:space="preserve">AVOID  </w:t>
            </w:r>
            <w:r>
              <w:rPr>
                <w:rFonts w:ascii="Calibri" w:hAnsi="Calibri"/>
                <w:b w:val="0"/>
                <w:i w:val="0"/>
                <w:color w:val="17212B"/>
                <w:sz w:val="18"/>
              </w:rPr>
              <w:t>‘First OCEL in education,’ ‘synthetic accuracy proves Educational Capstone Portal performance,’ or ‘COOC is a universal OCEL quality metric.’</w:t>
            </w:r>
          </w:p>
        </w:tc>
      </w:tr>
    </w:tbl>
    <w:p>
      <w:pPr>
        <w:pageBreakBefore/>
        <w:spacing w:before="0" w:after="0" w:line="20" w:lineRule="exact"/>
      </w:pPr>
      <w:r>
        <w:rPr>
          <w:rFonts w:ascii="Calibri" w:hAnsi="Calibri"/>
          <w:b w:val="0"/>
          <w:i w:val="0"/>
          <w:color w:val="FFFFFF"/>
          <w:sz w:val="2"/>
        </w:rPr>
      </w:r>
    </w:p>
    <w:p>
      <w:pPr>
        <w:pStyle w:val="Heading1"/>
      </w:pPr>
      <w:r>
        <w:t>4. Slides 8–10: explain what has been built</w:t>
      </w:r>
    </w:p>
    <w:p>
      <w:pPr>
        <w:pStyle w:val="Heading2"/>
        <w:keepNext/>
      </w:pPr>
      <w:r>
        <w:rPr>
          <w:rFonts w:ascii="Calibri" w:hAnsi="Calibri"/>
          <w:b/>
          <w:i w:val="0"/>
          <w:color w:val="2E74B5"/>
          <w:sz w:val="26"/>
        </w:rPr>
        <w:t>Slide 8 — Framework and architecture</w:t>
      </w:r>
      <w:r>
        <w:rPr>
          <w:rFonts w:ascii="Calibri" w:hAnsi="Calibri"/>
          <w:b/>
          <w:i w:val="0"/>
          <w:color w:val="9A6B00"/>
          <w:sz w:val="19"/>
        </w:rPr>
        <w:t xml:space="preserve">  ·  70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Read the architecture as a loop. Documented Educational Capstone Portal sources define states, entities, and gaps. The mapper converts them into typed events, objects, E2O and O2O relations. The exporter writes auditable CSVs and relational OCEL 2.0 SQLite, then validates integrity. From the log, we compare object-centric and flattened views, apply conformance and observability rules, and test selected parameters in an offline simulator.</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Point to one box at a time and explain the information flowing between boxes.</w:t>
      </w:r>
    </w:p>
    <w:p>
      <w:pPr>
        <w:pStyle w:val="Heading2"/>
      </w:pPr>
      <w:r>
        <w:t>Architecture in six phrases</w:t>
      </w:r>
    </w:p>
    <w:p>
      <w:pPr>
        <w:keepNext w:val="0"/>
        <w:numPr>
          <w:ilvl w:val="0"/>
          <w:numId w:val="10"/>
        </w:numPr>
        <w:spacing w:before="0" w:after="80" w:line="300" w:lineRule="auto"/>
      </w:pPr>
      <w:r>
        <w:rPr>
          <w:rFonts w:ascii="Calibri" w:hAnsi="Calibri"/>
          <w:b w:val="0"/>
          <w:i w:val="0"/>
          <w:color w:val="17212B"/>
          <w:sz w:val="22"/>
        </w:rPr>
        <w:t>Documents define the intended process.</w:t>
      </w:r>
    </w:p>
    <w:p>
      <w:pPr>
        <w:keepNext w:val="0"/>
        <w:numPr>
          <w:ilvl w:val="0"/>
          <w:numId w:val="10"/>
        </w:numPr>
        <w:spacing w:before="0" w:after="80" w:line="300" w:lineRule="auto"/>
      </w:pPr>
      <w:r>
        <w:rPr>
          <w:rFonts w:ascii="Calibri" w:hAnsi="Calibri"/>
          <w:b w:val="0"/>
          <w:i w:val="0"/>
          <w:color w:val="17212B"/>
          <w:sz w:val="22"/>
        </w:rPr>
        <w:t>The mapper preserves multi-object context.</w:t>
      </w:r>
    </w:p>
    <w:p>
      <w:pPr>
        <w:keepNext w:val="0"/>
        <w:numPr>
          <w:ilvl w:val="0"/>
          <w:numId w:val="10"/>
        </w:numPr>
        <w:spacing w:before="0" w:after="80" w:line="300" w:lineRule="auto"/>
      </w:pPr>
      <w:r>
        <w:rPr>
          <w:rFonts w:ascii="Calibri" w:hAnsi="Calibri"/>
          <w:b w:val="0"/>
          <w:i w:val="0"/>
          <w:color w:val="17212B"/>
          <w:sz w:val="22"/>
        </w:rPr>
        <w:t>The exporter creates reproducible OCEL evidence.</w:t>
      </w:r>
    </w:p>
    <w:p>
      <w:pPr>
        <w:keepNext w:val="0"/>
        <w:numPr>
          <w:ilvl w:val="0"/>
          <w:numId w:val="10"/>
        </w:numPr>
        <w:spacing w:before="0" w:after="80" w:line="300" w:lineRule="auto"/>
      </w:pPr>
      <w:r>
        <w:rPr>
          <w:rFonts w:ascii="Calibri" w:hAnsi="Calibri"/>
          <w:b w:val="0"/>
          <w:i w:val="0"/>
          <w:color w:val="17212B"/>
          <w:sz w:val="22"/>
        </w:rPr>
        <w:t>The analysis compares OCEL with flattened baselines.</w:t>
      </w:r>
    </w:p>
    <w:p>
      <w:pPr>
        <w:keepNext w:val="0"/>
        <w:numPr>
          <w:ilvl w:val="0"/>
          <w:numId w:val="10"/>
        </w:numPr>
        <w:spacing w:before="0" w:after="80" w:line="300" w:lineRule="auto"/>
      </w:pPr>
      <w:r>
        <w:rPr>
          <w:rFonts w:ascii="Calibri" w:hAnsi="Calibri"/>
          <w:b w:val="0"/>
          <w:i w:val="0"/>
          <w:color w:val="17212B"/>
          <w:sz w:val="22"/>
        </w:rPr>
        <w:t>Rules test documented cross-object conditions.</w:t>
      </w:r>
    </w:p>
    <w:p>
      <w:pPr>
        <w:keepNext w:val="0"/>
        <w:numPr>
          <w:ilvl w:val="0"/>
          <w:numId w:val="10"/>
        </w:numPr>
        <w:spacing w:before="0" w:after="80" w:line="300" w:lineRule="auto"/>
      </w:pPr>
      <w:r>
        <w:rPr>
          <w:rFonts w:ascii="Calibri" w:hAnsi="Calibri"/>
          <w:b w:val="0"/>
          <w:i w:val="0"/>
          <w:color w:val="17212B"/>
          <w:sz w:val="22"/>
        </w:rPr>
        <w:t>The simulator explores policies without changing the live system.</w:t>
      </w:r>
    </w:p>
    <w:p>
      <w:pPr>
        <w:pStyle w:val="Heading2"/>
        <w:keepNext/>
      </w:pPr>
      <w:r>
        <w:rPr>
          <w:rFonts w:ascii="Calibri" w:hAnsi="Calibri"/>
          <w:b/>
          <w:i w:val="0"/>
          <w:color w:val="2E74B5"/>
          <w:sz w:val="26"/>
        </w:rPr>
        <w:t>Slide 9 — Functional requirements</w:t>
      </w:r>
      <w:r>
        <w:rPr>
          <w:rFonts w:ascii="Calibri" w:hAnsi="Calibri"/>
          <w:b/>
          <w:i w:val="0"/>
          <w:color w:val="9A6B00"/>
          <w:sz w:val="19"/>
        </w:rPr>
        <w:t xml:space="preserve">  ·  45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 prototype must be reproducible, relational, auditable, and evaluable. It generates three scenarios from a recorded seed; preserves qualified E2O and O2O links; exports both SQLite and CSV evidence; validates references, time order, tables, and checksums; compares flattening and six gap conditions; and reports grouped prediction plus offline simulations.</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Functional requirements are testable behaviours, not aspirational features.</w:t>
      </w:r>
    </w:p>
    <w:p>
      <w:pPr>
        <w:pStyle w:val="Heading2"/>
        <w:keepNext/>
      </w:pPr>
      <w:r>
        <w:rPr>
          <w:rFonts w:ascii="Calibri" w:hAnsi="Calibri"/>
          <w:b/>
          <w:i w:val="0"/>
          <w:color w:val="2E74B5"/>
          <w:sz w:val="26"/>
        </w:rPr>
        <w:t>Slide 10 — Modules and readiness</w:t>
      </w:r>
      <w:r>
        <w:rPr>
          <w:rFonts w:ascii="Calibri" w:hAnsi="Calibri"/>
          <w:b/>
          <w:i w:val="0"/>
          <w:color w:val="9A6B00"/>
          <w:sz w:val="19"/>
        </w:rPr>
        <w:t xml:space="preserve">  ·  50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Eight of twelve declared Review 2 modules are complete: schema, generator, evidence and OCEL export, validation, flattening comparison, six detectors, and baseline prediction and simulation. Four remain: real-log ingestion, PM4Py integration, an object-aware predictor, and empirical twin calibration. We therefore report 67 percent of the declared milestone scope—not of a deployed product.</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Use the denominator: 8 completed modules divided by 12 declared modules.</w:t>
      </w:r>
    </w:p>
    <w:p>
      <w:pPr>
        <w:pageBreakBefore/>
        <w:spacing w:before="0" w:after="0" w:line="20" w:lineRule="exact"/>
      </w:pPr>
      <w:r>
        <w:rPr>
          <w:rFonts w:ascii="Calibri" w:hAnsi="Calibri"/>
          <w:b w:val="0"/>
          <w:i w:val="0"/>
          <w:color w:val="FFFFFF"/>
          <w:sz w:val="2"/>
        </w:rPr>
      </w:r>
    </w:p>
    <w:p>
      <w:pPr>
        <w:pStyle w:val="Heading1"/>
      </w:pPr>
      <w:r>
        <w:t>5. Slides 11–13: explain the evidence and close</w:t>
      </w:r>
    </w:p>
    <w:p>
      <w:pPr>
        <w:pStyle w:val="Heading2"/>
      </w:pPr>
      <w:r>
        <w:t>Slide 11 — Synthetic experiments and results  ·  90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We generated three deterministic scenarios with 120 projects and 30 faculty each. All OCEL outputs passed referential-integrity and timestamp checks. The key comparison asks what survives when the same data is flattened around Project, Student, or ReportVersion.</w:t>
            </w:r>
          </w:p>
        </w:tc>
      </w:tr>
    </w:tbl>
    <w:p>
      <w:pPr>
        <w:keepNext w:val="0"/>
        <w:spacing w:before="0" w:after="60" w:line="240" w:lineRule="auto"/>
        <w:jc w:val="left"/>
      </w:pPr>
      <w:r>
        <w:rPr>
          <w:rFonts w:ascii="Calibri" w:hAnsi="Calibri"/>
          <w:b w:val="0"/>
          <w:i w:val="0"/>
          <w:color w:val="17212B"/>
          <w:sz w:val="2"/>
        </w:rPr>
      </w:r>
    </w:p>
    <w:tbl>
      <w:tblPr>
        <w:tblW w:type="dxa" w:w="9360"/>
        <w:tblLayout w:type="fixed"/>
        <w:tblLook w:firstColumn="1" w:firstRow="1" w:lastColumn="0" w:lastRow="0" w:noHBand="0" w:noVBand="1" w:val="04A0"/>
        <w:jc w:val="left"/>
        <w:tblInd w:w="120" w:type="dxa"/>
      </w:tblPr>
      <w:tblGrid>
        <w:gridCol w:w="1900"/>
        <w:gridCol w:w="3000"/>
        <w:gridCol w:w="4460"/>
      </w:tblGrid>
      <w:tr>
        <w:trPr>
          <w:tblHeader w:val="true"/>
          <w:cantSplit/>
        </w:trPr>
        <w:tc>
          <w:tcPr>
            <w:tcW w:type="dxa" w:w="1900"/>
            <w:tcMar>
              <w:top w:w="80" w:type="dxa"/>
              <w:start w:w="120" w:type="dxa"/>
              <w:bottom w:w="80" w:type="dxa"/>
              <w:end w:w="120" w:type="dxa"/>
            </w:tcMar>
            <w:vAlign w:val="center"/>
            <w:shd w:fill="E8EEF5"/>
          </w:tcPr>
          <w:p>
            <w:r>
              <w:rPr>
                <w:rFonts w:ascii="Calibri" w:hAnsi="Calibri"/>
                <w:b/>
                <w:i w:val="0"/>
                <w:color w:val="102A43"/>
                <w:sz w:val="19"/>
              </w:rPr>
              <w:t>Measure</w:t>
            </w:r>
          </w:p>
        </w:tc>
        <w:tc>
          <w:tcPr>
            <w:tcW w:type="dxa" w:w="3000"/>
            <w:tcMar>
              <w:top w:w="80" w:type="dxa"/>
              <w:start w:w="120" w:type="dxa"/>
              <w:bottom w:w="80" w:type="dxa"/>
              <w:end w:w="120" w:type="dxa"/>
            </w:tcMar>
            <w:vAlign w:val="center"/>
            <w:shd w:fill="E8EEF5"/>
          </w:tcPr>
          <w:p>
            <w:r>
              <w:rPr>
                <w:rFonts w:ascii="Calibri" w:hAnsi="Calibri"/>
                <w:b/>
                <w:i w:val="0"/>
                <w:color w:val="102A43"/>
                <w:sz w:val="19"/>
              </w:rPr>
              <w:t>Synthetic result</w:t>
            </w:r>
          </w:p>
        </w:tc>
        <w:tc>
          <w:tcPr>
            <w:tcW w:type="dxa" w:w="4460"/>
            <w:tcMar>
              <w:top w:w="80" w:type="dxa"/>
              <w:start w:w="120" w:type="dxa"/>
              <w:bottom w:w="80" w:type="dxa"/>
              <w:end w:w="120" w:type="dxa"/>
            </w:tcMar>
            <w:vAlign w:val="center"/>
            <w:shd w:fill="E8EEF5"/>
          </w:tcPr>
          <w:p>
            <w:r>
              <w:rPr>
                <w:rFonts w:ascii="Calibri" w:hAnsi="Calibri"/>
                <w:b/>
                <w:i w:val="0"/>
                <w:color w:val="102A43"/>
                <w:sz w:val="19"/>
              </w:rPr>
              <w:t>How to interpret it</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Relation retention</w:t>
            </w:r>
          </w:p>
        </w:tc>
        <w:tc>
          <w:tcPr>
            <w:tcW w:type="dxa" w:w="300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27.9% project-flat; 19.8% student-flat; 26.3% version-flat; 100% OCEL.</w:t>
            </w:r>
          </w:p>
        </w:tc>
        <w:tc>
          <w:tcPr>
            <w:tcW w:type="dxa" w:w="44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A single case view discards many generated event–object links.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COOC</w:t>
            </w:r>
          </w:p>
        </w:tc>
        <w:tc>
          <w:tcPr>
            <w:tcW w:type="dxa" w:w="300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33.3%; 16.7%; 50.0%; 100% respectively on six predicates.</w:t>
            </w:r>
          </w:p>
        </w:tc>
        <w:tc>
          <w:tcPr>
            <w:tcW w:type="dxa" w:w="44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OCEL preserves the evidence required for all preregistered cross-object questions.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Gap detectors</w:t>
            </w:r>
          </w:p>
        </w:tc>
        <w:tc>
          <w:tcPr>
            <w:tcW w:type="dxa" w:w="300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Macro-F1 0.977.</w:t>
            </w:r>
          </w:p>
        </w:tc>
        <w:tc>
          <w:tcPr>
            <w:tcW w:type="dxa" w:w="44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The deterministic rules recover most controlled injected labels; they are not yet validated on natural errors.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Next event</w:t>
            </w:r>
          </w:p>
        </w:tc>
        <w:tc>
          <w:tcPr>
            <w:tcW w:type="dxa" w:w="300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Top-1 0.912; top-2 0.986; macro-F1 0.673.</w:t>
            </w:r>
          </w:p>
        </w:tc>
        <w:tc>
          <w:tcPr>
            <w:tcW w:type="dxa" w:w="44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Common transitions are predictable, while minority-class performance is weaker.</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b/>
                <w:i w:val="0"/>
                <w:color w:val="1F4D78"/>
                <w:sz w:val="18"/>
              </w:rPr>
              <w:t>Combined intervention</w:t>
            </w:r>
          </w:p>
        </w:tc>
        <w:tc>
          <w:tcPr>
            <w:tcW w:type="dxa" w:w="300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Modelled deadlock 11.2% → 1.3%; completion 74.5% → 89.5%.</w:t>
            </w:r>
          </w:p>
        </w:tc>
        <w:tc>
          <w:tcPr>
            <w:tcW w:type="dxa" w:w="4460"/>
            <w:tcMar>
              <w:top w:w="80" w:type="dxa"/>
              <w:start w:w="120" w:type="dxa"/>
              <w:bottom w:w="80" w:type="dxa"/>
              <w:end w:w="120" w:type="dxa"/>
            </w:tcMar>
            <w:vAlign w:val="center"/>
          </w:tcPr>
          <w:p>
            <w:pPr>
              <w:keepNext w:val="0"/>
              <w:spacing w:before="0" w:after="0" w:line="259" w:lineRule="auto"/>
            </w:pPr>
            <w:r>
              <w:rPr>
                <w:rFonts w:ascii="Calibri" w:hAnsi="Calibri"/>
                <w:b w:val="0"/>
                <w:i w:val="0"/>
                <w:color w:val="17212B"/>
                <w:sz w:val="18"/>
              </w:rPr>
              <w:t>A hypothesis under simulator assumptions—not causal evidence.</w:t>
            </w:r>
          </w:p>
        </w:tc>
      </w:tr>
    </w:tbl>
    <w:p>
      <w:pPr>
        <w:pStyle w:val="Heading2"/>
        <w:keepNext/>
      </w:pPr>
      <w:r>
        <w:rPr>
          <w:rFonts w:ascii="Calibri" w:hAnsi="Calibri"/>
          <w:b/>
          <w:i w:val="0"/>
          <w:color w:val="2E74B5"/>
          <w:sz w:val="26"/>
        </w:rPr>
        <w:t>Slide 12 — Conclusion and outcome</w:t>
      </w:r>
      <w:r>
        <w:rPr>
          <w:rFonts w:ascii="Calibri" w:hAnsi="Calibri"/>
          <w:b/>
          <w:i w:val="0"/>
          <w:color w:val="9A6B00"/>
          <w:sz w:val="19"/>
        </w:rPr>
        <w:t xml:space="preserve">  ·  45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 prototype demonstrates a reproducible Educational Capstone Portal-to-OCEL path and why representation choice matters. Under the synthetic design, OCEL preserves all generated relations and all six cross-object predicates, whereas flattened views lose substantial context. The detector and prediction results establish feasibility. The next phase is empirical: integrate PM4Py, ingest de-identified logs, recalibrate assumptions, and test generalization.</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Your strongest conclusion is representation preservation, not institutional improvement.</w:t>
      </w:r>
    </w:p>
    <w:p>
      <w:pPr>
        <w:pStyle w:val="Heading2"/>
        <w:keepNext/>
      </w:pPr>
      <w:r>
        <w:rPr>
          <w:rFonts w:ascii="Calibri" w:hAnsi="Calibri"/>
          <w:b/>
          <w:i w:val="0"/>
          <w:color w:val="2E74B5"/>
          <w:sz w:val="26"/>
        </w:rPr>
        <w:t>Slide 13 — References</w:t>
      </w:r>
      <w:r>
        <w:rPr>
          <w:rFonts w:ascii="Calibri" w:hAnsi="Calibri"/>
          <w:b/>
          <w:i w:val="0"/>
          <w:color w:val="9A6B00"/>
          <w:sz w:val="19"/>
        </w:rPr>
        <w:t xml:space="preserve">  ·  15 sec</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SAY  </w:t>
            </w:r>
            <w:r>
              <w:rPr>
                <w:rFonts w:ascii="Calibri" w:hAnsi="Calibri"/>
                <w:b w:val="0"/>
                <w:i w:val="0"/>
                <w:color w:val="17212B"/>
                <w:sz w:val="21"/>
              </w:rPr>
              <w:t>These references anchor the OCEL standard, object-centric process mining, conformance, action-oriented process mining, educational process mining, the 2026 Moodle prior art, and extraction-quality methodology. Thank you—we welcome your questions.</w:t>
            </w:r>
          </w:p>
        </w:tc>
      </w:tr>
    </w:tbl>
    <w:p>
      <w:pPr>
        <w:keepNext w:val="0"/>
        <w:spacing w:before="0" w:after="60" w:line="240" w:lineRule="auto"/>
        <w:jc w:val="left"/>
      </w:pPr>
      <w:r>
        <w:rPr>
          <w:rFonts w:ascii="Calibri" w:hAnsi="Calibri"/>
          <w:b w:val="0"/>
          <w:i w:val="0"/>
          <w:color w:val="17212B"/>
          <w:sz w:val="2"/>
        </w:rPr>
      </w:r>
    </w:p>
    <w:p>
      <w:pPr>
        <w:keepNext w:val="0"/>
        <w:spacing w:before="0" w:after="120" w:line="276" w:lineRule="auto"/>
      </w:pPr>
      <w:r>
        <w:rPr>
          <w:rFonts w:ascii="Calibri" w:hAnsi="Calibri"/>
          <w:b/>
          <w:i w:val="0"/>
          <w:color w:val="9B1C1C"/>
          <w:sz w:val="20"/>
        </w:rPr>
        <w:t xml:space="preserve">Emphasize: </w:t>
      </w:r>
      <w:r>
        <w:rPr>
          <w:rFonts w:ascii="Calibri" w:hAnsi="Calibri"/>
          <w:b w:val="0"/>
          <w:i w:val="0"/>
          <w:color w:val="17212B"/>
          <w:sz w:val="20"/>
        </w:rPr>
        <w:t>Pause after ‘Thank you’ and look at the panel.</w:t>
      </w:r>
    </w:p>
    <w:p>
      <w:pPr>
        <w:pageBreakBefore/>
        <w:spacing w:before="0" w:after="0" w:line="20" w:lineRule="exact"/>
      </w:pPr>
      <w:r>
        <w:rPr>
          <w:rFonts w:ascii="Calibri" w:hAnsi="Calibri"/>
          <w:b w:val="0"/>
          <w:i w:val="0"/>
          <w:color w:val="FFFFFF"/>
          <w:sz w:val="2"/>
        </w:rPr>
      </w:r>
    </w:p>
    <w:p>
      <w:pPr>
        <w:pStyle w:val="Heading1"/>
      </w:pPr>
      <w:r>
        <w:t>6. Live demo runbook</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2F0D9"/>
          </w:tcPr>
          <w:p>
            <w:pPr>
              <w:keepNext w:val="0"/>
              <w:spacing w:before="0" w:after="0" w:line="283" w:lineRule="auto"/>
            </w:pPr>
            <w:r>
              <w:rPr>
                <w:rFonts w:ascii="Calibri" w:hAnsi="Calibri"/>
                <w:b/>
                <w:i w:val="0"/>
                <w:color w:val="1F4D78"/>
                <w:sz w:val="21"/>
              </w:rPr>
              <w:t xml:space="preserve">DEMO GOAL  </w:t>
            </w:r>
            <w:r>
              <w:rPr>
                <w:rFonts w:ascii="Calibri" w:hAnsi="Calibri"/>
                <w:b w:val="0"/>
                <w:i w:val="0"/>
                <w:color w:val="17212B"/>
                <w:sz w:val="21"/>
              </w:rPr>
              <w:t>Prove reproducibility and traceability in 5–7 minutes. Do not attempt to explain every row or every function.</w:t>
            </w:r>
          </w:p>
        </w:tc>
      </w:tr>
    </w:tbl>
    <w:p>
      <w:pPr>
        <w:keepNext w:val="0"/>
        <w:spacing w:before="0" w:after="60" w:line="240" w:lineRule="auto"/>
        <w:jc w:val="left"/>
      </w:pPr>
      <w:r>
        <w:rPr>
          <w:rFonts w:ascii="Calibri" w:hAnsi="Calibri"/>
          <w:b w:val="0"/>
          <w:i w:val="0"/>
          <w:color w:val="17212B"/>
          <w:sz w:val="2"/>
        </w:rPr>
      </w:r>
    </w:p>
    <w:p>
      <w:pPr>
        <w:pStyle w:val="Heading2"/>
      </w:pPr>
      <w:r>
        <w:t>Before entering the room</w:t>
      </w:r>
    </w:p>
    <w:p>
      <w:pPr>
        <w:keepNext w:val="0"/>
        <w:numPr>
          <w:ilvl w:val="0"/>
          <w:numId w:val="10"/>
        </w:numPr>
        <w:spacing w:before="0" w:after="80" w:line="300" w:lineRule="auto"/>
      </w:pPr>
      <w:r>
        <w:rPr>
          <w:rFonts w:ascii="Calibri" w:hAnsi="Calibri"/>
          <w:b w:val="0"/>
          <w:i w:val="0"/>
          <w:color w:val="17212B"/>
          <w:sz w:val="22"/>
        </w:rPr>
        <w:t>Replace slide 2 with the actual guide-approval email screenshot.</w:t>
      </w:r>
    </w:p>
    <w:p>
      <w:pPr>
        <w:keepNext w:val="0"/>
        <w:numPr>
          <w:ilvl w:val="0"/>
          <w:numId w:val="10"/>
        </w:numPr>
        <w:spacing w:before="0" w:after="80" w:line="300" w:lineRule="auto"/>
      </w:pPr>
      <w:r>
        <w:rPr>
          <w:rFonts w:ascii="Calibri" w:hAnsi="Calibri"/>
          <w:b w:val="0"/>
          <w:i w:val="0"/>
          <w:color w:val="17212B"/>
          <w:sz w:val="22"/>
        </w:rPr>
        <w:t>Confirm whether the title-slide date should be 02-09-2026 or 09-09-2026.</w:t>
      </w:r>
    </w:p>
    <w:p>
      <w:pPr>
        <w:keepNext w:val="0"/>
        <w:numPr>
          <w:ilvl w:val="0"/>
          <w:numId w:val="10"/>
        </w:numPr>
        <w:spacing w:before="0" w:after="80" w:line="300" w:lineRule="auto"/>
      </w:pPr>
      <w:r>
        <w:rPr>
          <w:rFonts w:ascii="Calibri" w:hAnsi="Calibri"/>
          <w:b w:val="0"/>
          <w:i w:val="0"/>
          <w:color w:val="17212B"/>
          <w:sz w:val="22"/>
        </w:rPr>
        <w:t>Keep a pre-generated results folder as fallback, but run the scripts live if time permits.</w:t>
      </w:r>
    </w:p>
    <w:p>
      <w:pPr>
        <w:keepNext w:val="0"/>
        <w:numPr>
          <w:ilvl w:val="0"/>
          <w:numId w:val="10"/>
        </w:numPr>
        <w:spacing w:before="0" w:after="80" w:line="300" w:lineRule="auto"/>
      </w:pPr>
      <w:r>
        <w:rPr>
          <w:rFonts w:ascii="Calibri" w:hAnsi="Calibri"/>
          <w:b w:val="0"/>
          <w:i w:val="0"/>
          <w:color w:val="17212B"/>
          <w:sz w:val="22"/>
        </w:rPr>
        <w:t>Increase terminal font size and close notifications, unrelated tabs, and personal files.</w:t>
      </w:r>
    </w:p>
    <w:p>
      <w:pPr>
        <w:keepNext w:val="0"/>
        <w:numPr>
          <w:ilvl w:val="0"/>
          <w:numId w:val="10"/>
        </w:numPr>
        <w:spacing w:before="0" w:after="80" w:line="300" w:lineRule="auto"/>
      </w:pPr>
      <w:r>
        <w:rPr>
          <w:rFonts w:ascii="Calibri" w:hAnsi="Calibri"/>
          <w:b w:val="0"/>
          <w:i w:val="0"/>
          <w:color w:val="17212B"/>
          <w:sz w:val="22"/>
        </w:rPr>
        <w:t>Open README.txt, one gap-injected CSV, the SQLite file, and experiment_summary.csv in advance.</w:t>
      </w:r>
    </w:p>
    <w:p>
      <w:pPr>
        <w:pStyle w:val="Heading2"/>
      </w:pPr>
      <w:r>
        <w:t>Commands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2F4F7"/>
          </w:tcPr>
          <w:p>
            <w:pPr>
              <w:keepNext w:val="0"/>
              <w:spacing w:before="0" w:after="0" w:line="283" w:lineRule="auto"/>
            </w:pPr>
            <w:r>
              <w:rPr>
                <w:rFonts w:ascii="Calibri" w:hAnsi="Calibri"/>
                <w:b/>
                <w:i w:val="0"/>
                <w:color w:val="102A43"/>
                <w:sz w:val="21"/>
              </w:rPr>
              <w:t xml:space="preserve">TERMINAL  </w:t>
            </w:r>
            <w:r>
              <w:rPr>
                <w:rFonts w:ascii="Calibri" w:hAnsi="Calibri"/>
                <w:b w:val="0"/>
                <w:i w:val="0"/>
                <w:color w:val="17212B"/>
                <w:sz w:val="21"/>
              </w:rPr>
              <w:t>cd Team1_Educational_Capstone_Research</w:t>
              <w:br/>
              <w:t>python3 synthetic/src/team1_synthetic_ocel.py</w:t>
              <w:br/>
              <w:t>python3 synthetic/src/analyze_team1_synthetic.py</w:t>
            </w:r>
          </w:p>
        </w:tc>
      </w:tr>
    </w:tbl>
    <w:p>
      <w:pPr>
        <w:keepNext w:val="0"/>
        <w:spacing w:before="0" w:after="60" w:line="240" w:lineRule="auto"/>
        <w:jc w:val="left"/>
      </w:pPr>
      <w:r>
        <w:rPr>
          <w:rFonts w:ascii="Calibri" w:hAnsi="Calibri"/>
          <w:b w:val="0"/>
          <w:i w:val="0"/>
          <w:color w:val="17212B"/>
          <w:sz w:val="2"/>
        </w:rPr>
      </w:r>
    </w:p>
    <w:p>
      <w:pPr>
        <w:pStyle w:val="Heading2"/>
      </w:pPr>
      <w:r>
        <w:t>Narration sequence</w:t>
      </w:r>
    </w:p>
    <w:p>
      <w:pPr>
        <w:keepNext w:val="0"/>
        <w:numPr>
          <w:ilvl w:val="0"/>
          <w:numId w:val="12"/>
        </w:numPr>
        <w:spacing w:before="0" w:after="80" w:line="300" w:lineRule="auto"/>
      </w:pPr>
      <w:r>
        <w:rPr>
          <w:rFonts w:ascii="Calibri" w:hAnsi="Calibri"/>
          <w:b w:val="0"/>
          <w:i w:val="0"/>
          <w:color w:val="17212B"/>
          <w:sz w:val="22"/>
        </w:rPr>
        <w:t>Open README: ‘The package records the scope and the synthetic-data limitation.’</w:t>
      </w:r>
    </w:p>
    <w:p>
      <w:pPr>
        <w:keepNext w:val="0"/>
        <w:numPr>
          <w:ilvl w:val="0"/>
          <w:numId w:val="12"/>
        </w:numPr>
        <w:spacing w:before="0" w:after="80" w:line="300" w:lineRule="auto"/>
      </w:pPr>
      <w:r>
        <w:rPr>
          <w:rFonts w:ascii="Calibri" w:hAnsi="Calibri"/>
          <w:b w:val="0"/>
          <w:i w:val="0"/>
          <w:color w:val="17212B"/>
          <w:sz w:val="22"/>
        </w:rPr>
        <w:t>Run the generator: ‘The same seed produces three controlled process scenarios.’</w:t>
      </w:r>
    </w:p>
    <w:p>
      <w:pPr>
        <w:keepNext w:val="0"/>
        <w:numPr>
          <w:ilvl w:val="0"/>
          <w:numId w:val="12"/>
        </w:numPr>
        <w:spacing w:before="0" w:after="80" w:line="300" w:lineRule="auto"/>
      </w:pPr>
      <w:r>
        <w:rPr>
          <w:rFonts w:ascii="Calibri" w:hAnsi="Calibri"/>
          <w:b w:val="0"/>
          <w:i w:val="0"/>
          <w:color w:val="17212B"/>
          <w:sz w:val="22"/>
        </w:rPr>
        <w:t>Show objects.csv and events.csv: identify typed objects and timestamped activities.</w:t>
      </w:r>
    </w:p>
    <w:p>
      <w:pPr>
        <w:keepNext w:val="0"/>
        <w:numPr>
          <w:ilvl w:val="0"/>
          <w:numId w:val="12"/>
        </w:numPr>
        <w:spacing w:before="0" w:after="80" w:line="300" w:lineRule="auto"/>
      </w:pPr>
      <w:r>
        <w:rPr>
          <w:rFonts w:ascii="Calibri" w:hAnsi="Calibri"/>
          <w:b w:val="0"/>
          <w:i w:val="0"/>
          <w:color w:val="17212B"/>
          <w:sz w:val="22"/>
        </w:rPr>
        <w:t>Show e2o.csv: point out one event connected to several objects. This is the central OCEL idea.</w:t>
      </w:r>
    </w:p>
    <w:p>
      <w:pPr>
        <w:keepNext w:val="0"/>
        <w:numPr>
          <w:ilvl w:val="0"/>
          <w:numId w:val="12"/>
        </w:numPr>
        <w:spacing w:before="0" w:after="80" w:line="300" w:lineRule="auto"/>
      </w:pPr>
      <w:r>
        <w:rPr>
          <w:rFonts w:ascii="Calibri" w:hAnsi="Calibri"/>
          <w:b w:val="0"/>
          <w:i w:val="0"/>
          <w:color w:val="17212B"/>
          <w:sz w:val="22"/>
        </w:rPr>
        <w:t>Show o2o.csv: point out stable domain links, such as membership or supervision.</w:t>
      </w:r>
    </w:p>
    <w:p>
      <w:pPr>
        <w:keepNext w:val="0"/>
        <w:numPr>
          <w:ilvl w:val="0"/>
          <w:numId w:val="12"/>
        </w:numPr>
        <w:spacing w:before="0" w:after="80" w:line="300" w:lineRule="auto"/>
      </w:pPr>
      <w:r>
        <w:rPr>
          <w:rFonts w:ascii="Calibri" w:hAnsi="Calibri"/>
          <w:b w:val="0"/>
          <w:i w:val="0"/>
          <w:color w:val="17212B"/>
          <w:sz w:val="22"/>
        </w:rPr>
        <w:t>Open the SQLite database: show that the output is relational OCEL 2.0, not only loose CSV files.</w:t>
      </w:r>
    </w:p>
    <w:p>
      <w:pPr>
        <w:keepNext w:val="0"/>
        <w:numPr>
          <w:ilvl w:val="0"/>
          <w:numId w:val="12"/>
        </w:numPr>
        <w:spacing w:before="0" w:after="80" w:line="300" w:lineRule="auto"/>
      </w:pPr>
      <w:r>
        <w:rPr>
          <w:rFonts w:ascii="Calibri" w:hAnsi="Calibri"/>
          <w:b w:val="0"/>
          <w:i w:val="0"/>
          <w:color w:val="17212B"/>
          <w:sz w:val="22"/>
        </w:rPr>
        <w:t>Run analysis: show integrity, flattening, COOC, detector, prediction, and simulation outputs.</w:t>
      </w:r>
    </w:p>
    <w:p>
      <w:pPr>
        <w:keepNext w:val="0"/>
        <w:numPr>
          <w:ilvl w:val="0"/>
          <w:numId w:val="12"/>
        </w:numPr>
        <w:spacing w:before="0" w:after="80" w:line="300" w:lineRule="auto"/>
      </w:pPr>
      <w:r>
        <w:rPr>
          <w:rFonts w:ascii="Calibri" w:hAnsi="Calibri"/>
          <w:b w:val="0"/>
          <w:i w:val="0"/>
          <w:color w:val="17212B"/>
          <w:sz w:val="22"/>
        </w:rPr>
        <w:t>Close with the limitation and real-data plan.</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CE4D6"/>
          </w:tcPr>
          <w:p>
            <w:pPr>
              <w:keepNext w:val="0"/>
              <w:spacing w:before="0" w:after="0" w:line="283" w:lineRule="auto"/>
            </w:pPr>
            <w:r>
              <w:rPr>
                <w:rFonts w:ascii="Calibri" w:hAnsi="Calibri"/>
                <w:b/>
                <w:i w:val="0"/>
                <w:color w:val="9B1C1C"/>
                <w:sz w:val="21"/>
              </w:rPr>
              <w:t xml:space="preserve">IF THE DEMO FAILS  </w:t>
            </w:r>
            <w:r>
              <w:rPr>
                <w:rFonts w:ascii="Calibri" w:hAnsi="Calibri"/>
                <w:b w:val="0"/>
                <w:i w:val="0"/>
                <w:color w:val="17212B"/>
                <w:sz w:val="21"/>
              </w:rPr>
              <w:t>Do not debug silently. Say: ‘The generated evidence is already stored with the same seed; I will show the validated output and then explain the failed runtime step after the review.’</w:t>
            </w:r>
          </w:p>
        </w:tc>
      </w:tr>
    </w:tbl>
    <w:p>
      <w:pPr>
        <w:keepNext w:val="0"/>
        <w:spacing w:before="0" w:after="60" w:line="240" w:lineRule="auto"/>
        <w:jc w:val="left"/>
      </w:pPr>
      <w:r>
        <w:rPr>
          <w:rFonts w:ascii="Calibri" w:hAnsi="Calibri"/>
          <w:b w:val="0"/>
          <w:i w:val="0"/>
          <w:color w:val="17212B"/>
          <w:sz w:val="2"/>
        </w:rPr>
      </w:r>
    </w:p>
    <w:p>
      <w:pPr>
        <w:pageBreakBefore/>
        <w:spacing w:before="0" w:after="0" w:line="20" w:lineRule="exact"/>
      </w:pPr>
      <w:r>
        <w:rPr>
          <w:rFonts w:ascii="Calibri" w:hAnsi="Calibri"/>
          <w:b w:val="0"/>
          <w:i w:val="0"/>
          <w:color w:val="FFFFFF"/>
          <w:sz w:val="2"/>
        </w:rPr>
      </w:r>
    </w:p>
    <w:p>
      <w:pPr>
        <w:pStyle w:val="Heading1"/>
      </w:pPr>
      <w:r>
        <w:t>7. Likely viva questions — concepts and choices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2CC"/>
          </w:tcPr>
          <w:p>
            <w:pPr>
              <w:keepNext w:val="0"/>
              <w:spacing w:before="0" w:after="0" w:line="283" w:lineRule="auto"/>
            </w:pPr>
            <w:r>
              <w:rPr>
                <w:rFonts w:ascii="Calibri" w:hAnsi="Calibri"/>
                <w:b/>
                <w:i w:val="0"/>
                <w:color w:val="9A6B00"/>
                <w:sz w:val="21"/>
              </w:rPr>
              <w:t xml:space="preserve">ANSWER FORMULA  </w:t>
            </w:r>
            <w:r>
              <w:rPr>
                <w:rFonts w:ascii="Calibri" w:hAnsi="Calibri"/>
                <w:b w:val="0"/>
                <w:i w:val="0"/>
                <w:color w:val="17212B"/>
                <w:sz w:val="21"/>
              </w:rPr>
              <w:t>Answer first → give one piece of evidence → state the limitation → name the next step.</w:t>
            </w:r>
          </w:p>
        </w:tc>
      </w:tr>
    </w:tbl>
    <w:p>
      <w:pPr>
        <w:keepNext w:val="0"/>
        <w:spacing w:before="0" w:after="60" w:line="240" w:lineRule="auto"/>
        <w:jc w:val="left"/>
      </w:pPr>
      <w:r>
        <w:rPr>
          <w:rFonts w:ascii="Calibri" w:hAnsi="Calibri"/>
          <w:b w:val="0"/>
          <w:i w:val="0"/>
          <w:color w:val="17212B"/>
          <w:sz w:val="2"/>
        </w:rPr>
      </w:r>
    </w:p>
    <w:p>
      <w:pPr>
        <w:pStyle w:val="Heading2"/>
        <w:keepNext/>
        <w:spacing w:before="160" w:after="60"/>
      </w:pPr>
      <w:r>
        <w:rPr>
          <w:rFonts w:ascii="Calibri" w:hAnsi="Calibri"/>
          <w:b/>
          <w:i w:val="0"/>
          <w:color w:val="1F4D78"/>
          <w:sz w:val="22"/>
        </w:rPr>
        <w:t>Q1. Why not use ordinary case-centric process mining?</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Because no single case notion preserves every relationship in this domain. A score-entry event may concern a project, team, students, faculty member, stage, report version, and score. Flattening around one entity removes or duplicates parts of that context. Our synthetic ablation measures this loss directly.</w:t>
      </w:r>
    </w:p>
    <w:p>
      <w:pPr>
        <w:pStyle w:val="Heading2"/>
        <w:keepNext/>
        <w:spacing w:before="160" w:after="60"/>
      </w:pPr>
      <w:r>
        <w:rPr>
          <w:rFonts w:ascii="Calibri" w:hAnsi="Calibri"/>
          <w:b/>
          <w:i w:val="0"/>
          <w:color w:val="1F4D78"/>
          <w:sz w:val="22"/>
        </w:rPr>
        <w:t>Q2. What exactly is an object in your system?</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An object is a persistent typed entity whose lifecycle matters. Our principal objects are Project, Team, Student, Faculty, ReportVersion, ReviewStage, and Score. Events change or connect those lifecycles.</w:t>
      </w:r>
    </w:p>
    <w:p>
      <w:pPr>
        <w:pStyle w:val="Heading2"/>
        <w:keepNext/>
        <w:spacing w:before="160" w:after="60"/>
      </w:pPr>
      <w:r>
        <w:rPr>
          <w:rFonts w:ascii="Calibri" w:hAnsi="Calibri"/>
          <w:b/>
          <w:i w:val="0"/>
          <w:color w:val="1F4D78"/>
          <w:sz w:val="22"/>
        </w:rPr>
        <w:t>Q3. Why OCEL 2.0 specifically?</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OCEL 2.0 is designed for events related to multiple typed objects and supports qualified event–object and object–object relations. It also gives us a standard relational export target instead of inventing a private log format.</w:t>
      </w:r>
    </w:p>
    <w:p>
      <w:pPr>
        <w:pStyle w:val="Heading2"/>
        <w:keepNext/>
        <w:spacing w:before="160" w:after="60"/>
      </w:pPr>
      <w:r>
        <w:rPr>
          <w:rFonts w:ascii="Calibri" w:hAnsi="Calibri"/>
          <w:b/>
          <w:i w:val="0"/>
          <w:color w:val="1F4D78"/>
          <w:sz w:val="22"/>
        </w:rPr>
        <w:t>Q4. Why are you using synthetic data?</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Production Educational Capstone Portal logs and capstone PDFs were not available for Review 2. Synthetic data lets us test the schema, exporter, integrity checks, metrics, and experimental protocol without implying access to real student data. It is a controlled engineering validation, not an empirical institutional evaluation.</w:t>
      </w:r>
    </w:p>
    <w:p>
      <w:pPr>
        <w:pStyle w:val="Heading2"/>
        <w:keepNext/>
        <w:spacing w:before="160" w:after="60"/>
      </w:pPr>
      <w:r>
        <w:rPr>
          <w:rFonts w:ascii="Calibri" w:hAnsi="Calibri"/>
          <w:b/>
          <w:i w:val="0"/>
          <w:color w:val="1F4D78"/>
          <w:sz w:val="22"/>
        </w:rPr>
        <w:t>Q5. How is your synthetic data trustworthy?</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It is deterministic from seed 4971, derived from documented states and gaps, emits oracle labels, and is validated for referential integrity and time order. Trust here means reproducibility and traceability; realism must still be tested against de-identified production data and domain experts.</w:t>
      </w:r>
    </w:p>
    <w:p>
      <w:pPr>
        <w:pStyle w:val="Heading2"/>
        <w:keepNext/>
        <w:spacing w:before="160" w:after="60"/>
      </w:pPr>
      <w:r>
        <w:rPr>
          <w:rFonts w:ascii="Calibri" w:hAnsi="Calibri"/>
          <w:b/>
          <w:i w:val="0"/>
          <w:color w:val="1F4D78"/>
          <w:sz w:val="22"/>
        </w:rPr>
        <w:t>Q6. What is COOC and how is it calculated?</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COOC equals the number of preregistered cross-object predicates that a representation can compute and answer correctly, divided by the total number of tested predicates. With six predicates, preserving three gives 50 percent. It is deliberately described as a study-specific metric.</w:t>
      </w:r>
    </w:p>
    <w:p>
      <w:pPr>
        <w:pStyle w:val="Heading2"/>
        <w:keepNext/>
        <w:spacing w:before="160" w:after="60"/>
      </w:pPr>
      <w:r>
        <w:rPr>
          <w:rFonts w:ascii="Calibri" w:hAnsi="Calibri"/>
          <w:b/>
          <w:i w:val="0"/>
          <w:color w:val="1F4D78"/>
          <w:sz w:val="22"/>
        </w:rPr>
        <w:t>Q7. Why separate relation retention from COOC?</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Relation retention counts preserved links, whereas COOC asks whether the retained evidence is sufficient for specific analytical questions. Losing a small but critical relation can break a predicate even if most links remain.</w:t>
      </w:r>
    </w:p>
    <w:p>
      <w:pPr>
        <w:pageBreakBefore/>
        <w:spacing w:before="0" w:after="0" w:line="20" w:lineRule="exact"/>
      </w:pPr>
      <w:r>
        <w:rPr>
          <w:rFonts w:ascii="Calibri" w:hAnsi="Calibri"/>
          <w:b w:val="0"/>
          <w:i w:val="0"/>
          <w:color w:val="FFFFFF"/>
          <w:sz w:val="2"/>
        </w:rPr>
      </w:r>
    </w:p>
    <w:p>
      <w:pPr>
        <w:pStyle w:val="Heading1"/>
      </w:pPr>
      <w:r>
        <w:t>8. Likely viva questions — evidence and novelty</w:t>
      </w:r>
    </w:p>
    <w:p>
      <w:pPr>
        <w:pStyle w:val="Heading2"/>
        <w:keepNext/>
        <w:spacing w:before="160" w:after="60"/>
      </w:pPr>
      <w:r>
        <w:rPr>
          <w:rFonts w:ascii="Calibri" w:hAnsi="Calibri"/>
          <w:b/>
          <w:i w:val="0"/>
          <w:color w:val="1F4D78"/>
          <w:sz w:val="22"/>
        </w:rPr>
        <w:t>Q8. Does macro-F1 0.977 mean the detector is production-ready?</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No. The rules target controlled anomalies injected from the same documented structures. The result proves that the implementation can recover those oracle cases. Production readiness requires natural deviations, independent labels, false-positive analysis, and external validation.</w:t>
      </w:r>
    </w:p>
    <w:p>
      <w:pPr>
        <w:pStyle w:val="Heading2"/>
        <w:keepNext/>
        <w:spacing w:before="160" w:after="60"/>
      </w:pPr>
      <w:r>
        <w:rPr>
          <w:rFonts w:ascii="Calibri" w:hAnsi="Calibri"/>
          <w:b/>
          <w:i w:val="0"/>
          <w:color w:val="1F4D78"/>
          <w:sz w:val="22"/>
        </w:rPr>
        <w:t>Q9. Why is top-1 accuracy 0.912 but macro-F1 only 0.673?</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Accuracy is dominated by common next transitions. Macro-F1 gives equal importance to each class, so it exposes weaker performance on rarer transitions. The gap tells us that a more object-aware model and class-sensitive evaluation are needed.</w:t>
      </w:r>
    </w:p>
    <w:p>
      <w:pPr>
        <w:pStyle w:val="Heading2"/>
        <w:keepNext/>
        <w:spacing w:before="160" w:after="60"/>
      </w:pPr>
      <w:r>
        <w:rPr>
          <w:rFonts w:ascii="Calibri" w:hAnsi="Calibri"/>
          <w:b/>
          <w:i w:val="0"/>
          <w:color w:val="1F4D78"/>
          <w:sz w:val="22"/>
        </w:rPr>
        <w:t>Q10. Can you claim the combined intervention improves completion?</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Only inside the offline model. The simulator suggests a testable hypothesis: attempt escape and capacity reallocation together may reduce deadlock and raise completion under the stated parameters. It does not establish causal impact in Educational Capstone Portal.</w:t>
      </w:r>
    </w:p>
    <w:p>
      <w:pPr>
        <w:pStyle w:val="Heading2"/>
        <w:keepNext/>
        <w:spacing w:before="160" w:after="60"/>
      </w:pPr>
      <w:r>
        <w:rPr>
          <w:rFonts w:ascii="Calibri" w:hAnsi="Calibri"/>
          <w:b/>
          <w:i w:val="0"/>
          <w:color w:val="1F4D78"/>
          <w:sz w:val="22"/>
        </w:rPr>
        <w:t>Q11. What is novel if object-centric educational process mining already exists?</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The novelty is not generic education plus OCEL. It is the transactional capstone model; the documentation-grounded normative, descriptive, and adversarial validation triad; cross-object conformance rules; the COOC representation test; and offline evaluation of attempt and faculty-capacity policies.</w:t>
      </w:r>
    </w:p>
    <w:p>
      <w:pPr>
        <w:pStyle w:val="Heading2"/>
        <w:keepNext/>
        <w:spacing w:before="160" w:after="60"/>
      </w:pPr>
      <w:r>
        <w:rPr>
          <w:rFonts w:ascii="Calibri" w:hAnsi="Calibri"/>
          <w:b/>
          <w:i w:val="0"/>
          <w:color w:val="1F4D78"/>
          <w:sz w:val="22"/>
        </w:rPr>
        <w:t>Q12. Is COOC genuinely novel?</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It is a proposed study-specific operational metric, not yet a universal contribution. A paper must formally define the predicate set, preregister it, compare baselines, study sensitivity, and show value on real data before making a broader claim.</w:t>
      </w:r>
    </w:p>
    <w:p>
      <w:pPr>
        <w:pStyle w:val="Heading2"/>
        <w:keepNext/>
        <w:spacing w:before="160" w:after="60"/>
      </w:pPr>
      <w:r>
        <w:rPr>
          <w:rFonts w:ascii="Calibri" w:hAnsi="Calibri"/>
          <w:b/>
          <w:i w:val="0"/>
          <w:color w:val="1F4D78"/>
          <w:sz w:val="22"/>
        </w:rPr>
        <w:t>Q13. Why do you report 67 percent implementation?</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The Review 2 scope contains twelve explicitly declared modules and eight are complete. The percentage is therefore eight divided by twelve. It is readiness against this milestone scope, not overall deployment maturity.</w:t>
      </w:r>
    </w:p>
    <w:p>
      <w:pPr>
        <w:pStyle w:val="Heading2"/>
        <w:keepNext/>
        <w:spacing w:before="160" w:after="60"/>
      </w:pPr>
      <w:r>
        <w:rPr>
          <w:rFonts w:ascii="Calibri" w:hAnsi="Calibri"/>
          <w:b/>
          <w:i w:val="0"/>
          <w:color w:val="1F4D78"/>
          <w:sz w:val="22"/>
        </w:rPr>
        <w:t>Q14. How will you protect student privacy?</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Use ethics approval and purpose limitation, pseudonymous identifiers, minimal event attributes, role-based access, separation of identity mapping, suppression of small groups, and reporting at aggregate level. The research dataset should exclude report content unless it is strictly required and approved.</w:t>
      </w:r>
    </w:p>
    <w:p>
      <w:pPr>
        <w:pStyle w:val="Heading2"/>
        <w:keepNext/>
        <w:spacing w:before="160" w:after="60"/>
      </w:pPr>
      <w:r>
        <w:rPr>
          <w:rFonts w:ascii="Calibri" w:hAnsi="Calibri"/>
          <w:b/>
          <w:i w:val="0"/>
          <w:color w:val="1F4D78"/>
          <w:sz w:val="22"/>
        </w:rPr>
        <w:t>Q15. What would make this journal-ready?</w:t>
      </w:r>
    </w:p>
    <w:p>
      <w:pPr>
        <w:keepNext w:val="0"/>
        <w:spacing w:before="0" w:after="80" w:line="269" w:lineRule="auto"/>
      </w:pPr>
      <w:r>
        <w:rPr>
          <w:rFonts w:ascii="Calibri" w:hAnsi="Calibri"/>
          <w:b/>
          <w:i w:val="0"/>
          <w:color w:val="17212B"/>
          <w:sz w:val="20"/>
        </w:rPr>
        <w:t xml:space="preserve">Answer: </w:t>
      </w:r>
      <w:r>
        <w:rPr>
          <w:rFonts w:ascii="Calibri" w:hAnsi="Calibri"/>
          <w:b w:val="0"/>
          <w:i w:val="0"/>
          <w:color w:val="17212B"/>
          <w:sz w:val="20"/>
        </w:rPr>
        <w:t>Preregister the schema and predicates; ingest de-identified real logs; obtain independent expert labels and inter-rater agreement; add case-centric and object-centric baselines; run multiple seeds, scales, anomaly rates, missingness and ablations; calibrate the simulator; and preferably test a second institution or workflow.</w:t>
      </w:r>
    </w:p>
    <w:p>
      <w:pPr>
        <w:pageBreakBefore/>
        <w:spacing w:before="0" w:after="0" w:line="20" w:lineRule="exact"/>
      </w:pPr>
      <w:r>
        <w:rPr>
          <w:rFonts w:ascii="Calibri" w:hAnsi="Calibri"/>
          <w:b w:val="0"/>
          <w:i w:val="0"/>
          <w:color w:val="FFFFFF"/>
          <w:sz w:val="2"/>
        </w:rPr>
      </w:r>
    </w:p>
    <w:p>
      <w:pPr>
        <w:pStyle w:val="Heading1"/>
      </w:pPr>
      <w:r>
        <w:t>9. Rehearsal plan and final checklist</w:t>
      </w:r>
    </w:p>
    <w:p>
      <w:pPr>
        <w:pStyle w:val="Heading2"/>
      </w:pPr>
      <w:r>
        <w:t>Suggested team split</w:t>
      </w:r>
    </w:p>
    <w:p>
      <w:pPr>
        <w:keepNext w:val="0"/>
        <w:spacing w:before="0" w:after="120" w:line="300" w:lineRule="auto"/>
        <w:jc w:val="left"/>
      </w:pPr>
      <w:r>
        <w:rPr>
          <w:rFonts w:ascii="Calibri" w:hAnsi="Calibri"/>
          <w:b w:val="0"/>
          <w:i/>
          <w:color w:val="5B6573"/>
          <w:sz w:val="22"/>
        </w:rPr>
        <w:t>Adjust this allocation to match confidence and subject ownership.</w:t>
      </w:r>
    </w:p>
    <w:tbl>
      <w:tblPr>
        <w:tblW w:type="dxa" w:w="9360"/>
        <w:tblLayout w:type="fixed"/>
        <w:tblLook w:firstColumn="1" w:firstRow="1" w:lastColumn="0" w:lastRow="0" w:noHBand="0" w:noVBand="1" w:val="04A0"/>
        <w:jc w:val="left"/>
        <w:tblInd w:w="120" w:type="dxa"/>
      </w:tblPr>
      <w:tblGrid>
        <w:gridCol w:w="2500"/>
        <w:gridCol w:w="2500"/>
        <w:gridCol w:w="4360"/>
      </w:tblGrid>
      <w:tr>
        <w:trPr>
          <w:tblHeader w:val="true"/>
          <w:cantSplit/>
        </w:trPr>
        <w:tc>
          <w:tcPr>
            <w:tcW w:type="dxa" w:w="2500"/>
            <w:tcMar>
              <w:top w:w="80" w:type="dxa"/>
              <w:start w:w="120" w:type="dxa"/>
              <w:bottom w:w="80" w:type="dxa"/>
              <w:end w:w="120" w:type="dxa"/>
            </w:tcMar>
            <w:vAlign w:val="center"/>
            <w:shd w:fill="E8EEF5"/>
          </w:tcPr>
          <w:p>
            <w:r>
              <w:rPr>
                <w:rFonts w:ascii="Calibri" w:hAnsi="Calibri"/>
                <w:b/>
                <w:i w:val="0"/>
                <w:color w:val="102A43"/>
                <w:sz w:val="19"/>
              </w:rPr>
              <w:t>Speaker</w:t>
            </w:r>
          </w:p>
        </w:tc>
        <w:tc>
          <w:tcPr>
            <w:tcW w:type="dxa" w:w="2500"/>
            <w:tcMar>
              <w:top w:w="80" w:type="dxa"/>
              <w:start w:w="120" w:type="dxa"/>
              <w:bottom w:w="80" w:type="dxa"/>
              <w:end w:w="120" w:type="dxa"/>
            </w:tcMar>
            <w:vAlign w:val="center"/>
            <w:shd w:fill="E8EEF5"/>
          </w:tcPr>
          <w:p>
            <w:r>
              <w:rPr>
                <w:rFonts w:ascii="Calibri" w:hAnsi="Calibri"/>
                <w:b/>
                <w:i w:val="0"/>
                <w:color w:val="102A43"/>
                <w:sz w:val="19"/>
              </w:rPr>
              <w:t>Slides</w:t>
            </w:r>
          </w:p>
        </w:tc>
        <w:tc>
          <w:tcPr>
            <w:tcW w:type="dxa" w:w="4360"/>
            <w:tcMar>
              <w:top w:w="80" w:type="dxa"/>
              <w:start w:w="120" w:type="dxa"/>
              <w:bottom w:w="80" w:type="dxa"/>
              <w:end w:w="120" w:type="dxa"/>
            </w:tcMar>
            <w:vAlign w:val="center"/>
            <w:shd w:fill="E8EEF5"/>
          </w:tcPr>
          <w:p>
            <w:r>
              <w:rPr>
                <w:rFonts w:ascii="Calibri" w:hAnsi="Calibri"/>
                <w:b/>
                <w:i w:val="0"/>
                <w:color w:val="102A43"/>
                <w:sz w:val="19"/>
              </w:rPr>
              <w:t>Primary responsibility</w:t>
            </w:r>
          </w:p>
        </w:tc>
      </w:tr>
      <w:tr>
        <w:trPr>
          <w:cantSplit/>
        </w:trP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i w:val="0"/>
                <w:color w:val="1F4D78"/>
                <w:sz w:val="19"/>
              </w:rPr>
              <w:t>Aakaash</w:t>
            </w:r>
          </w:p>
        </w:tc>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1–4, 8</w:t>
            </w:r>
          </w:p>
        </w:tc>
        <w:tc>
          <w:tcPr>
            <w:tcW w:type="dxa" w:w="436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Opening, problem framing, OCEL model, architecture</w:t>
            </w:r>
          </w:p>
        </w:tc>
      </w:tr>
      <w:tr>
        <w:trPr>
          <w:cantSplit/>
        </w:trP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i w:val="0"/>
                <w:color w:val="1F4D78"/>
                <w:sz w:val="19"/>
              </w:rPr>
              <w:t>Mitisha</w:t>
            </w:r>
          </w:p>
        </w:tc>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5–7, 13</w:t>
            </w:r>
          </w:p>
        </w:tc>
        <w:tc>
          <w:tcPr>
            <w:tcW w:type="dxa" w:w="436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Literature, defensible novelty, objectives, references</w:t>
            </w:r>
          </w:p>
        </w:tc>
      </w:tr>
      <w:tr>
        <w:trPr>
          <w:cantSplit/>
        </w:trPr>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i w:val="0"/>
                <w:color w:val="1F4D78"/>
                <w:sz w:val="19"/>
              </w:rPr>
              <w:t>Tanmay</w:t>
            </w:r>
          </w:p>
        </w:tc>
        <w:tc>
          <w:tcPr>
            <w:tcW w:type="dxa" w:w="250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9–12 + demo</w:t>
            </w:r>
          </w:p>
        </w:tc>
        <w:tc>
          <w:tcPr>
            <w:tcW w:type="dxa" w:w="4360"/>
            <w:tcMar>
              <w:top w:w="80" w:type="dxa"/>
              <w:start w:w="120" w:type="dxa"/>
              <w:bottom w:w="80" w:type="dxa"/>
              <w:end w:w="120" w:type="dxa"/>
            </w:tcMar>
            <w:vAlign w:val="center"/>
          </w:tcPr>
          <w:p>
            <w:pPr>
              <w:keepNext w:val="0"/>
              <w:spacing w:before="0" w:after="0" w:line="264" w:lineRule="auto"/>
            </w:pPr>
            <w:r>
              <w:rPr>
                <w:rFonts w:ascii="Calibri" w:hAnsi="Calibri"/>
                <w:b w:val="0"/>
                <w:i w:val="0"/>
                <w:color w:val="17212B"/>
                <w:sz w:val="19"/>
              </w:rPr>
              <w:t>Requirements, implementation, experiments, conclusion</w:t>
            </w:r>
          </w:p>
        </w:tc>
      </w:tr>
    </w:tbl>
    <w:p>
      <w:pPr>
        <w:pStyle w:val="Heading2"/>
      </w:pPr>
      <w:r>
        <w:t>Three rehearsal passes</w:t>
      </w:r>
    </w:p>
    <w:p>
      <w:pPr>
        <w:keepNext w:val="0"/>
        <w:numPr>
          <w:ilvl w:val="0"/>
          <w:numId w:val="13"/>
        </w:numPr>
        <w:spacing w:before="0" w:after="80" w:line="300" w:lineRule="auto"/>
      </w:pPr>
      <w:r>
        <w:rPr>
          <w:rFonts w:ascii="Calibri" w:hAnsi="Calibri"/>
          <w:b w:val="0"/>
          <w:i w:val="0"/>
          <w:color w:val="17212B"/>
          <w:sz w:val="22"/>
        </w:rPr>
        <w:t>Pass 1 — comprehension: each member explains the entire project without reading.</w:t>
      </w:r>
    </w:p>
    <w:p>
      <w:pPr>
        <w:keepNext w:val="0"/>
        <w:numPr>
          <w:ilvl w:val="0"/>
          <w:numId w:val="13"/>
        </w:numPr>
        <w:spacing w:before="0" w:after="80" w:line="300" w:lineRule="auto"/>
      </w:pPr>
      <w:r>
        <w:rPr>
          <w:rFonts w:ascii="Calibri" w:hAnsi="Calibri"/>
          <w:b w:val="0"/>
          <w:i w:val="0"/>
          <w:color w:val="17212B"/>
          <w:sz w:val="22"/>
        </w:rPr>
        <w:t>Pass 2 — timing: run the deck and demo with a stopwatch; target 7–8 minutes plus demo.</w:t>
      </w:r>
    </w:p>
    <w:p>
      <w:pPr>
        <w:keepNext w:val="0"/>
        <w:numPr>
          <w:ilvl w:val="0"/>
          <w:numId w:val="13"/>
        </w:numPr>
        <w:spacing w:before="0" w:after="80" w:line="300" w:lineRule="auto"/>
      </w:pPr>
      <w:r>
        <w:rPr>
          <w:rFonts w:ascii="Calibri" w:hAnsi="Calibri"/>
          <w:b w:val="0"/>
          <w:i w:val="0"/>
          <w:color w:val="17212B"/>
          <w:sz w:val="22"/>
        </w:rPr>
        <w:t>Pass 3 — interruption: teammates ask the fifteen viva questions in random order.</w:t>
      </w:r>
    </w:p>
    <w:p>
      <w:pPr>
        <w:pStyle w:val="Heading2"/>
      </w:pPr>
      <w:r>
        <w:t>Final room-ready checklist</w:t>
      </w:r>
    </w:p>
    <w:p>
      <w:pPr>
        <w:keepNext w:val="0"/>
        <w:numPr>
          <w:ilvl w:val="0"/>
          <w:numId w:val="10"/>
        </w:numPr>
        <w:spacing w:before="0" w:after="80" w:line="300" w:lineRule="auto"/>
      </w:pPr>
      <w:r>
        <w:rPr>
          <w:rFonts w:ascii="Calibri" w:hAnsi="Calibri"/>
          <w:b w:val="0"/>
          <w:i w:val="0"/>
          <w:color w:val="17212B"/>
          <w:sz w:val="22"/>
        </w:rPr>
        <w:t>Guide-approval screenshot is readable on slide 2.</w:t>
      </w:r>
    </w:p>
    <w:p>
      <w:pPr>
        <w:keepNext w:val="0"/>
        <w:numPr>
          <w:ilvl w:val="0"/>
          <w:numId w:val="10"/>
        </w:numPr>
        <w:spacing w:before="0" w:after="80" w:line="300" w:lineRule="auto"/>
      </w:pPr>
      <w:r>
        <w:rPr>
          <w:rFonts w:ascii="Calibri" w:hAnsi="Calibri"/>
          <w:b w:val="0"/>
          <w:i w:val="0"/>
          <w:color w:val="17212B"/>
          <w:sz w:val="22"/>
        </w:rPr>
        <w:t>Review date, names, registration numbers, title, and guide name are confirmed.</w:t>
      </w:r>
    </w:p>
    <w:p>
      <w:pPr>
        <w:keepNext w:val="0"/>
        <w:numPr>
          <w:ilvl w:val="0"/>
          <w:numId w:val="10"/>
        </w:numPr>
        <w:spacing w:before="0" w:after="80" w:line="300" w:lineRule="auto"/>
      </w:pPr>
      <w:r>
        <w:rPr>
          <w:rFonts w:ascii="Calibri" w:hAnsi="Calibri"/>
          <w:b w:val="0"/>
          <w:i w:val="0"/>
          <w:color w:val="17212B"/>
          <w:sz w:val="22"/>
        </w:rPr>
        <w:t>Every member can define Event, Object, E2O, O2O, flattening, conformance, COOC, and digital twin.</w:t>
      </w:r>
    </w:p>
    <w:p>
      <w:pPr>
        <w:keepNext w:val="0"/>
        <w:numPr>
          <w:ilvl w:val="0"/>
          <w:numId w:val="10"/>
        </w:numPr>
        <w:spacing w:before="0" w:after="80" w:line="300" w:lineRule="auto"/>
      </w:pPr>
      <w:r>
        <w:rPr>
          <w:rFonts w:ascii="Calibri" w:hAnsi="Calibri"/>
          <w:b w:val="0"/>
          <w:i w:val="0"/>
          <w:color w:val="17212B"/>
          <w:sz w:val="22"/>
        </w:rPr>
        <w:t>Every member can explain why the 2026 Moodle paper changes the novelty claim.</w:t>
      </w:r>
    </w:p>
    <w:p>
      <w:pPr>
        <w:keepNext w:val="0"/>
        <w:numPr>
          <w:ilvl w:val="0"/>
          <w:numId w:val="10"/>
        </w:numPr>
        <w:spacing w:before="0" w:after="80" w:line="300" w:lineRule="auto"/>
      </w:pPr>
      <w:r>
        <w:rPr>
          <w:rFonts w:ascii="Calibri" w:hAnsi="Calibri"/>
          <w:b w:val="0"/>
          <w:i w:val="0"/>
          <w:color w:val="17212B"/>
          <w:sz w:val="22"/>
        </w:rPr>
        <w:t>Every member can explain the denominator behind 67 percent implementation.</w:t>
      </w:r>
    </w:p>
    <w:p>
      <w:pPr>
        <w:keepNext w:val="0"/>
        <w:numPr>
          <w:ilvl w:val="0"/>
          <w:numId w:val="10"/>
        </w:numPr>
        <w:spacing w:before="0" w:after="80" w:line="300" w:lineRule="auto"/>
      </w:pPr>
      <w:r>
        <w:rPr>
          <w:rFonts w:ascii="Calibri" w:hAnsi="Calibri"/>
          <w:b w:val="0"/>
          <w:i w:val="0"/>
          <w:color w:val="17212B"/>
          <w:sz w:val="22"/>
        </w:rPr>
        <w:t>Every reported number is introduced as synthetic or modelled.</w:t>
      </w:r>
    </w:p>
    <w:p>
      <w:pPr>
        <w:keepNext w:val="0"/>
        <w:numPr>
          <w:ilvl w:val="0"/>
          <w:numId w:val="10"/>
        </w:numPr>
        <w:spacing w:before="0" w:after="80" w:line="300" w:lineRule="auto"/>
      </w:pPr>
      <w:r>
        <w:rPr>
          <w:rFonts w:ascii="Calibri" w:hAnsi="Calibri"/>
          <w:b w:val="0"/>
          <w:i w:val="0"/>
          <w:color w:val="17212B"/>
          <w:sz w:val="22"/>
        </w:rPr>
        <w:t>The demo has been rerun from a clean terminal and a fallback results folder is ready.</w:t>
      </w:r>
    </w:p>
    <w:p>
      <w:pPr>
        <w:keepNext w:val="0"/>
        <w:numPr>
          <w:ilvl w:val="0"/>
          <w:numId w:val="10"/>
        </w:numPr>
        <w:spacing w:before="0" w:after="80" w:line="300" w:lineRule="auto"/>
      </w:pPr>
      <w:r>
        <w:rPr>
          <w:rFonts w:ascii="Calibri" w:hAnsi="Calibri"/>
          <w:b w:val="0"/>
          <w:i w:val="0"/>
          <w:color w:val="17212B"/>
          <w:sz w:val="22"/>
        </w:rPr>
        <w:t>The initial draft report and PPT use the same terminology and numerical results.</w:t>
      </w:r>
    </w:p>
    <w:p>
      <w:pPr>
        <w:pStyle w:val="Heading2"/>
      </w:pPr>
      <w:r>
        <w:t>Closing statement to memorize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2F0D9"/>
          </w:tcPr>
          <w:p>
            <w:pPr>
              <w:keepNext w:val="0"/>
              <w:spacing w:before="0" w:after="0" w:line="283" w:lineRule="auto"/>
            </w:pPr>
            <w:r>
              <w:rPr>
                <w:rFonts w:ascii="Calibri" w:hAnsi="Calibri"/>
                <w:b/>
                <w:i w:val="0"/>
                <w:color w:val="1F4D78"/>
                <w:sz w:val="21"/>
              </w:rPr>
              <w:t xml:space="preserve">CLOSE  </w:t>
            </w:r>
            <w:r>
              <w:rPr>
                <w:rFonts w:ascii="Calibri" w:hAnsi="Calibri"/>
                <w:b w:val="0"/>
                <w:i w:val="0"/>
                <w:color w:val="17212B"/>
                <w:sz w:val="21"/>
              </w:rPr>
              <w:t>Our Review 2 contribution is a transparent and reproducible proof that a capstone process can be represented and tested without forcing all activity into one case notion. The next phase is to challenge that design with de-identified real logs and independent expert validation.</w:t>
            </w:r>
          </w:p>
        </w:tc>
      </w:tr>
    </w:tbl>
    <w:p>
      <w:pPr>
        <w:keepNext w:val="0"/>
        <w:spacing w:before="0" w:after="60" w:line="240" w:lineRule="auto"/>
        <w:jc w:val="left"/>
      </w:pPr>
      <w:r>
        <w:rPr>
          <w:rFonts w:ascii="Calibri" w:hAnsi="Calibri"/>
          <w:b w:val="0"/>
          <w:i w:val="0"/>
          <w:color w:val="17212B"/>
          <w:sz w:val="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573"/>
        <w:sz w:val="17"/>
      </w:rPr>
      <w:t xml:space="preserve">BCSE497J  •  </w:t>
    </w:r>
    <w:fldSimple w:instr="PAGE">
      <w:r>
        <w:rPr>
          <w:rFonts w:ascii="Calibri" w:hAnsi="Calibri"/>
          <w:sz w:val="18"/>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B6573"/>
        <w:sz w:val="17"/>
      </w:rPr>
      <w:t>TEAM 1  |  REVIEW 2 SPEAKER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1 Review 2 Explanation Guide</dc:title>
  <dc:subject>Speaker guide and viva preparation for the Team 1 OCEL capstone project</dc:subject>
  <dc:creator>Aakaash Sathya Saravanan; Mitisha Sharma; Tanmay Khambete</dc:creator>
  <cp:keywords>OCEL 2.0, object-centric process mining, Educational Capstone Portal, capstone, Review 2</cp:keywords>
  <dc:description>generated by python-docx</dc:description>
  <cp:lastModifiedBy/>
  <cp:revision>1</cp:revision>
  <dcterms:created xsi:type="dcterms:W3CDTF">2013-12-23T23:15:00Z</dcterms:created>
  <dcterms:modified xsi:type="dcterms:W3CDTF">2013-12-23T23:15:00Z</dcterms:modified>
  <cp:category/>
</cp:coreProperties>
</file>