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cs="Times New Roman" w:eastAsia="Times New Roman"/>
          <w:b/>
          <w:bCs/>
          <w:sz w:val="36"/>
          <w:szCs w:val="36"/>
        </w:rPr>
        <w:t xml:space="preserve">OBJECT-CENTRIC EVENT LOG MINING FOR ACADEMIC CAPSTONE PROCESSES: A NATIVE OCEL 2.0 APPROACH</w:t>
      </w: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bCs/>
          <w:sz w:val="26"/>
          <w:szCs w:val="26"/>
        </w:rPr>
        <w:t xml:space="preserve">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23BCE0434</w:t>
            </w:r>
          </w:p>
        </w:tc>
        <w:tc>
          <w:tcPr>
            <w:tcW w:w="5245"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MITISHA SHARMA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bCs/>
                <w:sz w:val="26"/>
                <w:szCs w:val="26"/>
              </w:rPr>
              <w:t xml:space="preserve">23BCE0498</w:t>
            </w:r>
          </w:p>
        </w:tc>
        <w:tc>
          <w:tcPr>
            <w:tcW w:w="5245"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TANMAY KHAMBETE</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23BCE0500</w:t>
            </w:r>
          </w:p>
        </w:tc>
        <w:tc>
          <w:tcPr>
            <w:tcW w:w="5245" w:type="dxa"/>
          </w:tcPr>
          <w:p w14:paraId="65DE6CA8"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AAKAASH SATHYA SARAVANAN</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rFonts w:ascii="Times New Roman" w:hAnsi="Times New Roman" w:cs="Times New Roman" w:eastAsia="Times New Roman"/>
                <w:b/>
                <w:bCs/>
                <w:sz w:val="26"/>
                <w:szCs w:val="26"/>
              </w:rPr>
              <w:t xml:space="preserve">Dr. Kalyanaraman P.</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rFonts w:ascii="Times New Roman" w:hAnsi="Times New Roman" w:cs="Times New Roman" w:eastAsia="Times New Roman"/>
                <w:sz w:val="26"/>
                <w:szCs w:val="26"/>
              </w:rPr>
              <w:t xml:space="preserve">Professor Grade 1</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sz w:val="24"/>
          <w:szCs w:val="24"/>
        </w:rPr>
        <w:t xml:space="preserve">We hereby declare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us,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to VIT is a record of bonafide work carried out by us under the supervision of Dr. Kalyanaraman P.</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sz w:val="24"/>
          <w:szCs w:val="24"/>
        </w:rPr>
        <w:t xml:space="preserve">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Mitisha Sharma</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Tanmay Khambete</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Aakaash Sathya Saravanan</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sz w:val="24"/>
          <w:szCs w:val="24"/>
        </w:rPr>
        <w:t xml:space="preserve">This is to certify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w:t>
      </w:r>
      <w:r>
        <w:rPr>
          <w:rFonts w:ascii="Times New Roman" w:hAnsi="Times New Roman" w:cs="Times New Roman" w:eastAsia="Times New Roman"/>
          <w:b/>
          <w:bCs/>
          <w:sz w:val="24"/>
          <w:szCs w:val="24"/>
        </w:rPr>
        <w:t xml:space="preserve">Mitisha Sharma (23BCE0434), Tanmay Khambete (23BCE0498) and Aakaash Sathya Saravanan (23BCE0500)</w:t>
      </w:r>
      <w:r>
        <w:rPr>
          <w:rFonts w:ascii="Times New Roman" w:hAnsi="Times New Roman" w:cs="Times New Roman" w:eastAsia="Times New Roman"/>
          <w:sz w:val="24"/>
          <w:szCs w:val="24"/>
        </w:rPr>
        <w:t xml:space="preserve">, School of Computer Science and Engineering, VIT,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cs="Times New Roman" w:eastAsia="Times New Roman"/>
          <w:b/>
          <w:bCs/>
          <w:sz w:val="24"/>
          <w:szCs w:val="24"/>
        </w:rPr>
        <w:t xml:space="preserve">Dr. Boominathan P</w:t>
      </w:r>
    </w:p>
    <w:p w14:paraId="20C4D10B" w14:textId="7B89751A" w:rsidR="00C20248" w:rsidRDefault="001E65ED" w:rsidP="00EA137F">
      <w:pPr>
        <w:spacing w:line="360" w:lineRule="auto"/>
        <w:jc w:val="center"/>
        <w:rPr>
          <w:rFonts w:ascii="Verdana"/>
        </w:rPr>
      </w:pPr>
      <w:r>
        <w:rPr>
          <w:rFonts w:ascii="Times New Roman" w:hAnsi="Times New Roman" w:cs="Times New Roman" w:eastAsia="Times New Roman"/>
          <w:b/>
          <w:bCs/>
          <w:sz w:val="24"/>
          <w:szCs w:val="24"/>
        </w:rPr>
        <w:t xml:space="preserve">Computer Science and Engineering</w:t>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deeply grateful to the management of Vellore Institute of Technology (VIT) for giving us the opportunity and the resources to take up this project. Their commitment to a conducive learning environment has been important to our academic journey, and the support and infrastructure provided by VIT let us explore and develop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Our sincere thanks to Dr. Jaisankar N, the Dean of the School of Computer Science and Engineering (SCOPE), for the Dean's unwavering support and encouragement. The Dean's leadership and vision have inspired us to strive for excellence, and the dedication to academic excellence and innovation has been a constant source of motivation. We appreciate the effort that goes into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express our profound appreciation to Dr. Boominathan P, the Head of the Department of Computer Science and Engineering, for their insightful guidance and continuous support. Their expertise and advice shaped the direction of our project, and the collaborative, supportive atmosphere they keep made learning easier for us.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immensely thankful to our project guide, Dr. Kalyanaraman P., for their dedicated mentorship and valuable feedback. Their patience, knowledge and encouragement carried us through this project, and the time they spent sharing expertise and giving thoughtful guidance helped us refine our ideas and methods.</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pPr>
        <w:spacing w:before="0" w:after="0"/>
        <w:ind w:left="5000"/>
      </w:pPr>
      <w:r>
        <w:rPr>
          <w:rFonts w:ascii="Times New Roman" w:hAnsi="Times New Roman" w:cs="Times New Roman" w:eastAsia="Times New Roman"/>
          <w:b/>
          <w:bCs/>
          <w:sz w:val="24"/>
          <w:szCs w:val="24"/>
        </w:rPr>
        <w:t xml:space="preserve">Mitisha Sharma</w:t>
      </w:r>
    </w:p>
    <w:p>
      <w:pPr>
        <w:spacing w:before="0" w:after="0"/>
        <w:ind w:left="5000"/>
      </w:pPr>
      <w:r>
        <w:rPr>
          <w:rFonts w:ascii="Times New Roman" w:hAnsi="Times New Roman" w:cs="Times New Roman" w:eastAsia="Times New Roman"/>
          <w:b/>
          <w:bCs/>
          <w:sz w:val="24"/>
          <w:szCs w:val="24"/>
        </w:rPr>
        <w:t xml:space="preserve">Tanmay Khambete</w:t>
      </w:r>
    </w:p>
    <w:p>
      <w:pPr>
        <w:spacing w:before="0" w:after="0"/>
        <w:ind w:left="5000"/>
      </w:pPr>
      <w:r>
        <w:rPr>
          <w:rFonts w:ascii="Times New Roman" w:hAnsi="Times New Roman" w:cs="Times New Roman" w:eastAsia="Times New Roman"/>
          <w:b/>
          <w:bCs/>
          <w:sz w:val="24"/>
          <w:szCs w:val="24"/>
        </w:rPr>
        <w:t xml:space="preserve">Aakaash Sathya Saravanan</w:t>
      </w:r>
    </w:p>
    <w:p w14:paraId="264302DB" w14:textId="77777777" w:rsidR="00C20248" w:rsidRDefault="00C20248">
      <w:pPr>
        <w:widowControl/>
        <w:autoSpaceDE/>
        <w:autoSpaceDN/>
        <w:spacing w:after="160" w:line="259" w:lineRule="auto"/>
        <w:rPr>
          <w:b/>
          <w:sz w:val="24"/>
        </w:rPr>
      </w:pPr>
      <w:r>
        <w:rPr>
          <w:b/>
          <w:sz w:val="24"/>
        </w:rPr>
        <w:br w:type="page"/>
      </w:r>
    </w:p>
    <w:p>
      <w:pPr>
        <w:keepNext/>
        <w:spacing w:before="0" w:after="240" w:line="360" w:lineRule="auto"/>
        <w:jc w:val="center"/>
        <w:outlineLvl w:val="0"/>
      </w:pPr>
      <w:r>
        <w:rPr>
          <w:rFonts w:ascii="Times New Roman" w:hAnsi="Times New Roman" w:cs="Times New Roman" w:eastAsia="Times New Roman"/>
          <w:b/>
          <w:bCs/>
          <w:sz w:val="28"/>
          <w:szCs w:val="28"/>
        </w:rPr>
        <w:t xml:space="preserve">TABLE OF CONTENTS</w:t>
      </w:r>
    </w:p>
    <w:tbl>
      <w:tblPr>
        <w:tblW w:w="9350" w:type="dxa"/>
        <w:jc w:val="center"/>
        <w:tblBorders/>
        <w:tblLayout w:type="fixed"/>
        <w:tblCellMar>
          <w:top w:w="15" w:type="dxa"/>
          <w:left w:w="60" w:type="dxa"/>
          <w:bottom w:w="15" w:type="dxa"/>
          <w:right w:w="60" w:type="dxa"/>
        </w:tblCellMar>
      </w:tblPr>
      <w:tblGrid>
        <w:gridCol w:w="800"/>
        <w:gridCol w:w="7350"/>
        <w:gridCol w:w="1200"/>
      </w:tblGrid>
      <w:tr>
        <w:trPr>
          <w:cantSplit/>
          <w:tblHeader/>
        </w:trPr>
        <w:tc>
          <w:tcPr>
            <w:tcW w:w="800" w:type="dxa"/>
            <w:vAlign w:val="center"/>
          </w:tcPr>
          <w:p>
            <w:pPr>
              <w:spacing w:before="0" w:after="0" w:line="300" w:lineRule="auto"/>
              <w:jc w:val="center"/>
            </w:pPr>
            <w:r>
              <w:rPr>
                <w:rFonts w:ascii="Times New Roman" w:hAnsi="Times New Roman" w:cs="Times New Roman" w:eastAsia="Times New Roman"/>
                <w:b/>
                <w:bCs/>
                <w:sz w:val="22"/>
                <w:szCs w:val="22"/>
              </w:rPr>
              <w:t xml:space="preserve">Sl.No</w:t>
            </w:r>
          </w:p>
        </w:tc>
        <w:tc>
          <w:tcPr>
            <w:tcW w:w="7350" w:type="dxa"/>
            <w:vAlign w:val="center"/>
          </w:tcPr>
          <w:p>
            <w:pPr>
              <w:spacing w:before="0" w:after="0" w:line="300" w:lineRule="auto"/>
              <w:jc w:val="center"/>
            </w:pPr>
            <w:r>
              <w:rPr>
                <w:rFonts w:ascii="Times New Roman" w:hAnsi="Times New Roman" w:cs="Times New Roman" w:eastAsia="Times New Roman"/>
                <w:b/>
                <w:bCs/>
                <w:sz w:val="22"/>
                <w:szCs w:val="22"/>
              </w:rPr>
              <w:t xml:space="preserve">Contents</w:t>
            </w:r>
          </w:p>
        </w:tc>
        <w:tc>
          <w:tcPr>
            <w:tcW w:w="120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Abstract</w:t>
            </w:r>
          </w:p>
        </w:tc>
        <w:tc>
          <w:tcPr>
            <w:tcW w:w="1200" w:type="dxa"/>
            <w:vAlign w:val="center"/>
          </w:tcPr>
          <w:p>
            <w:pPr>
              <w:spacing w:before="0" w:after="0" w:line="300" w:lineRule="auto"/>
              <w:jc w:val="center"/>
            </w:pPr>
            <w:r>
              <w:rPr>
                <w:rFonts w:ascii="Times New Roman" w:hAnsi="Times New Roman" w:cs="Times New Roman" w:eastAsia="Times New Roman"/>
                <w:b/>
                <w:bCs/>
                <w:sz w:val="22"/>
                <w:szCs w:val="22"/>
              </w:rPr>
              <w:t xml:space="preserve">x</w:t>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1.</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INTRODUCTION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_Toc_ch1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1.1 Background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1.2 Motivations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1.3 Scope of the Project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2.</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DESCRIPTION AND GOALS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_Toc_ch2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2.1 Literature Review</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2.2 Research Gap</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2.3 Objectives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2.4 Problem Statement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2.5 Project Plan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3.</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TECHNICAL SPECIFICATION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_Toc_ch3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 Requirements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3.1.1 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3.1.2 Non-Functional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 Feasibility Study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3.2.1 Technical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3.2.2 Economic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3.2.3 Social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 System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3.3.1 Hardware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3.3.2 Software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4.</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DESIGN APPROACH AND DETAILS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_Toc_ch4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9</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4.1 System Architecture</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 Design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4.2.1 Data Flow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4.2.2 Use Case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4.2.3 Class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4.2.4 Sequence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4.3 OCEL 2.0 Model of the Capstone Lifecycle (Design Only)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5.</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METHODOLOGY AND TESTING</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_Toc_ch5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14</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 Module Description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5.1.1 M1: Acquire and Verify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5.1.2 M2: Convert and Load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5.1.3 M3: Distortion Metrics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5.1.4 M4: Consequence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5.1.5 M5: Predicate Engine (Appendix-Level)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5.1.6 M6: Validation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5.1.7 M7: Summaries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5.2 Testing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6.</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DEMONSTRATION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_Toc_ch6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19</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6.1 Step 1: Check that the data is present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6.2 Step 2: Run the self-check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6.3 Step 3: Distortion of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6.4 Step 4: Consequences for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6.5 Step 5: The cross-log summary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7.</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RESULT AND DISCUSSION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_Toc_ch7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21</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7.1 The Seven Logs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7.2 Distortion by Flattening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7.3 Consequences for Standard Outputs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 Process Discovery on Flat Logs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7.5 Discussion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7.5.1 Threats to Validity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7.6 Cost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8.</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CONCLUSION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_Toc_ch8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28</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8.1 Limitations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8.2 Future Work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9.</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REFERENCES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_Toc_refs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30</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APPENDIX A - SAMPLE CODE</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_Toc_appA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32</w:t>
            </w:r>
            <w:r>
              <w:rPr>
                <w:rFonts w:ascii="Times New Roman" w:hAnsi="Times New Roman" w:cs="Times New Roman" w:eastAsia="Times New Roman"/>
                <w:b/>
                <w:sz w:val="22"/>
                <w:szCs w:val="22"/>
              </w:rPr>
              <w:fldChar w:fldCharType="end"/>
            </w:r>
          </w:p>
        </w:tc>
      </w:tr>
    </w:tbl>
    <w:p>
      <w:pPr>
        <w:keepNext/>
        <w:pageBreakBefore/>
        <w:spacing w:before="0" w:after="240" w:line="360" w:lineRule="auto"/>
        <w:jc w:val="center"/>
        <w:outlineLvl w:val="0"/>
      </w:pPr>
      <w:bookmarkStart w:id="806" w:name="_Toc_lof"/>
      <w:r>
        <w:rPr>
          <w:rFonts w:ascii="Times New Roman" w:hAnsi="Times New Roman" w:cs="Times New Roman" w:eastAsia="Times New Roman"/>
          <w:b/>
          <w:bCs/>
          <w:sz w:val="28"/>
          <w:szCs w:val="28"/>
        </w:rPr>
        <w:t xml:space="preserve">LIST OF FIGURES</w:t>
      </w:r>
      <w:bookmarkEnd w:id="806"/>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Figure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Project calendar, August to December 2026 (grey bars are not part of the delivered work)</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System architecture of the flattening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0</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1</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Use case diagram</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Class diagram of the main structures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4.6</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Sequence diagram of one end-to-end run</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4.7</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relations and events of the capstone lifecycle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Duplication and dropped events for the seven logs, by regime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Object-type pairs that share more than half of their objects across cases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Activity ranking agreement: duplication alone versus the whole process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Entity ranking agreement from a denormalised flat export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Spurious directly-follows edges, worst case notion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7.6</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Replay fitness against the share of the process's activities in the discovered model, one dot per case notion</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26</w:t>
            </w:r>
            <w:r>
              <w:rPr>
                <w:rFonts w:ascii="Times New Roman" w:hAnsi="Times New Roman" w:cs="Times New Roman" w:eastAsia="Times New Roman"/>
                <w:sz w:val="22"/>
                <w:szCs w:val="22"/>
              </w:rPr>
              <w:fldChar w:fldCharType="end"/>
            </w:r>
          </w:p>
        </w:tc>
      </w:tr>
    </w:tbl>
    <w:p>
      <w:pPr>
        <w:keepNext/>
        <w:pageBreakBefore/>
        <w:spacing w:before="0" w:after="240" w:line="360" w:lineRule="auto"/>
        <w:jc w:val="center"/>
        <w:outlineLvl w:val="0"/>
      </w:pPr>
      <w:bookmarkStart w:id="807" w:name="_Toc_lot"/>
      <w:r>
        <w:rPr>
          <w:rFonts w:ascii="Times New Roman" w:hAnsi="Times New Roman" w:cs="Times New Roman" w:eastAsia="Times New Roman"/>
          <w:b/>
          <w:bCs/>
          <w:sz w:val="28"/>
          <w:szCs w:val="28"/>
        </w:rPr>
        <w:t xml:space="preserve">LIST OF TABLES</w:t>
      </w:r>
      <w:bookmarkEnd w:id="807"/>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Table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1.1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Scope of the project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Summary of the reviewed literature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Work packages and status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Non-functional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items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Hardware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Software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of the capstone model</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Sources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Distortion metrics for a case notion 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Verification checks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6.1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Demonstration steps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Profile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Flattening distortion per log (analysed case notions)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Consequences of flattening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Process discovery on the flat logs (Inductive Miner, noise threshold 0.2)</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of producing and reproducing the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27</w:t>
            </w:r>
            <w:r>
              <w:rPr>
                <w:rFonts w:ascii="Times New Roman" w:hAnsi="Times New Roman" w:cs="Times New Roman" w:eastAsia="Times New Roman"/>
                <w:sz w:val="22"/>
                <w:szCs w:val="22"/>
              </w:rPr>
              <w:fldChar w:fldCharType="end"/>
            </w:r>
          </w:p>
        </w:tc>
      </w:tr>
    </w:tbl>
    <w:p>
      <w:pPr>
        <w:keepNext/>
        <w:pageBreakBefore/>
        <w:spacing w:before="0" w:after="240" w:line="360" w:lineRule="auto"/>
        <w:jc w:val="center"/>
        <w:outlineLvl w:val="0"/>
      </w:pPr>
      <w:bookmarkStart w:id="808" w:name="_Toc_abbr"/>
      <w:r>
        <w:rPr>
          <w:rFonts w:ascii="Times New Roman" w:hAnsi="Times New Roman" w:cs="Times New Roman" w:eastAsia="Times New Roman"/>
          <w:b/>
          <w:bCs/>
          <w:sz w:val="28"/>
          <w:szCs w:val="28"/>
        </w:rPr>
        <w:t xml:space="preserve">LIST OF ABBREVIATIONS</w:t>
      </w:r>
      <w:bookmarkEnd w:id="808"/>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AGPL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GNU Affero General Public Licence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AoE2</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Age of Empires II</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CC BY</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Creative Commons Attribution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COOC</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Cross-Object Observability Coverage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CROP</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Code Review Open Platform (Gerrit code-review dataset)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CSV</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Comma-Separated Values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Directly-Follows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Data Flow Diagram</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E2O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Event-to-Object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HTTP</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Hypertext Transfer Protocol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JSON</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JavaScript Object Notation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MD5</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Message-Digest Algorithm 5</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MSR</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Mining Software Repositories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OCEL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Object-Centric Event Log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OULAD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Open University Learning Analytics Dataset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SCOPE</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School of Computer Science and Engineering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SDG</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Sustainable Development Goal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SHA-256</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Secure Hash Algorithm, 256-bit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SQL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Structured Query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TRL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Technology Readiness Level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UCI</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University of California, Irvine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Unified Modeling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VIT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Vellore Institute of Technology</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XML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Extensible Markup Language</w:t>
            </w:r>
          </w:p>
        </w:tc>
      </w:tr>
    </w:tbl>
    <w:p>
      <w:pPr>
        <w:keepNext/>
        <w:pageBreakBefore/>
        <w:spacing w:before="0" w:after="240" w:line="360" w:lineRule="auto"/>
        <w:jc w:val="center"/>
        <w:outlineLvl w:val="0"/>
      </w:pPr>
      <w:bookmarkStart w:id="809" w:name="_Toc_sym"/>
      <w:r>
        <w:rPr>
          <w:rFonts w:ascii="Times New Roman" w:hAnsi="Times New Roman" w:cs="Times New Roman" w:eastAsia="Times New Roman"/>
          <w:b/>
          <w:bCs/>
          <w:sz w:val="28"/>
          <w:szCs w:val="28"/>
        </w:rPr>
        <w:t xml:space="preserve">SYMBOLS AND NOTATIONS</w:t>
      </w:r>
      <w:bookmarkEnd w:id="809"/>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 type chosen as the case notion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Another object type, the entities being ranked or nested inside 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δ(T)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Deficiency: share of events with no T-object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κ(T)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Convergence share: share of covered events related to two or more T-objects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Copies per event: flat rows divided by covered events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ρ</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Spearman rank correlation coefficient</w:t>
            </w:r>
          </w:p>
        </w:tc>
      </w:tr>
    </w:tbl>
    <w:p>
      <w:pPr>
        <w:keepNext/>
        <w:pageBreakBefore/>
        <w:spacing w:before="0" w:after="240" w:line="360" w:lineRule="auto"/>
        <w:jc w:val="center"/>
        <w:outlineLvl w:val="0"/>
      </w:pPr>
      <w:bookmarkStart w:id="810" w:name="_Toc_abstract"/>
      <w:r>
        <w:rPr>
          <w:rFonts w:ascii="Times New Roman" w:hAnsi="Times New Roman" w:cs="Times New Roman" w:eastAsia="Times New Roman"/>
          <w:b/>
          <w:bCs/>
          <w:sz w:val="32"/>
          <w:szCs w:val="32"/>
        </w:rPr>
        <w:t xml:space="preserve">ABSTRACT</w:t>
      </w:r>
      <w:bookmarkEnd w:id="810"/>
    </w:p>
    <w:p>
      <w:pPr>
        <w:spacing w:before="0" w:after="140" w:line="276" w:lineRule="auto"/>
        <w:jc w:val="both"/>
      </w:pPr>
      <w:r>
        <w:rPr>
          <w:rFonts w:ascii="Times New Roman" w:hAnsi="Times New Roman" w:cs="Times New Roman" w:eastAsia="Times New Roman"/>
          <w:sz w:val="24"/>
          <w:szCs w:val="24"/>
        </w:rPr>
        <w:t xml:space="preserve">When a student leader submits a report on a capstone portal, that single event concerns a project, a team, three students, a guide and a report version. Process mining, however, requires every event to belong to exactly one case. When the event is flattened to one case notion, it can be copied into several cases (convergence), dropped altogether (deficiency) or merged with repeated events that belong to other objects (divergence). Object-centric event logs, in the OCEL 2.0 standard, keep the many-to-many links instead.</w:t>
      </w:r>
    </w:p>
    <w:p>
      <w:pPr>
        <w:spacing w:before="0" w:after="140" w:line="276" w:lineRule="auto"/>
        <w:jc w:val="both"/>
      </w:pPr>
      <w:r>
        <w:rPr>
          <w:rFonts w:ascii="Times New Roman" w:hAnsi="Times New Roman" w:cs="Times New Roman" w:eastAsia="Times New Roman"/>
          <w:sz w:val="24"/>
          <w:szCs w:val="24"/>
        </w:rPr>
        <w:t xml:space="preserve">We began this project to study capstone review processes with OCEL 2.0, but portal logs could not be obtained. We also found no public capstone or thesis-management event log. We therefore narrowed our claims. The capstone is presented as a documented OCEL 2.0 design, and we measured flattening on seven real public logs: Gerrit code review (CROP), Open University learning analytics (OULAD), Angular commits, German Bundestag procedures, Enron e-mail, an Ethereum window and Age of Empires II matches. No synthetic or simulated data was used anywhere.</w:t>
      </w:r>
    </w:p>
    <w:p>
      <w:pPr>
        <w:spacing w:before="0" w:after="140" w:line="276" w:lineRule="auto"/>
        <w:jc w:val="both"/>
      </w:pPr>
      <w:r>
        <w:rPr>
          <w:rFonts w:ascii="Times New Roman" w:hAnsi="Times New Roman" w:cs="Times New Roman" w:eastAsia="Times New Roman"/>
          <w:sz w:val="24"/>
          <w:szCs w:val="24"/>
        </w:rPr>
        <w:t xml:space="preserve">We built a reproducible pipeline that downloads and checks each source, converts the Gerrit and OULAD data to OCEL 2.0, computes flattening distortion for 38 case notions, and compares what an analyst would read off a flat view against the object-centric one: activity rankings, directly-follows edges, process variants, entity rankings and the process model a miner discovers.</w:t>
      </w:r>
    </w:p>
    <w:p>
      <w:pPr>
        <w:spacing w:before="0" w:after="140" w:line="276" w:lineRule="auto"/>
        <w:jc w:val="both"/>
      </w:pPr>
      <w:r>
        <w:rPr>
          <w:rFonts w:ascii="Times New Roman" w:hAnsi="Times New Roman" w:cs="Times New Roman" w:eastAsia="Times New Roman"/>
          <w:sz w:val="24"/>
          <w:szCs w:val="24"/>
        </w:rPr>
        <w:t xml:space="preserve">The logs fall into three groups. In star logs (CROP, OULAD) every event touches one object of each type, so flattening copies nothing. In partitioned logs (Bundestag, Age of Empires II, Ethereum) one case notion drops 69% to 91% of the events in the median. In fan-out logs (Angular, Enron) flattening does duplicate events, up to 81.65 copies of one event in Angular. Duplication alone rarely changes an activity ranking, since only 2 of 38 case notions fall below a rank correlation of 0.95. The bigger effect is narrowing: in 20 of 38 case notions the flat log shows fewer than half of the process's activities, and 2 of the 15 case notions that cover at least half of their log are among them. A model discovered from a narrowed flat log still reaches a replay fitness of 0.955 or more, so the usual quality check gives no warning. Counting rows in a denormalised flat export can also invert an entity ranking, with worst-case rank correlations of 0.16 (Enron), -0.01 (Ethereum) and -0.41 (Age of Empires II).</w:t>
      </w:r>
    </w:p>
    <w:p>
      <w:pPr>
        <w:spacing w:before="0" w:after="140" w:line="276" w:lineRule="auto"/>
        <w:jc w:val="both"/>
      </w:pPr>
      <w:r>
        <w:rPr>
          <w:rFonts w:ascii="Times New Roman" w:hAnsi="Times New Roman" w:cs="Times New Roman" w:eastAsia="Times New Roman"/>
          <w:sz w:val="24"/>
          <w:szCs w:val="24"/>
        </w:rPr>
        <w:t xml:space="preserve">We checked parts of the pipeline with an independent SQL implementation, a brute-force self-check, an independent recomputation of the OULAD counts and byte-identical re-runs. A plain-Python re-implementation reproduces the distortion metrics exactly on all seven full logs. Those checks caught three bugs of our own, which we fixed. No one outside the team has labelled the findings, and the capstone model is still a design that has not met portal data. The measurement work is under review at the Journal of Intelligent Information Systems.</w:t>
      </w:r>
    </w:p>
    <w:p>
      <w:pPr>
        <w:sectPr>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1</w:t>
      </w:r>
    </w:p>
    <w:p>
      <w:pPr>
        <w:keepNext/>
        <w:spacing w:before="0" w:after="240" w:line="276" w:lineRule="auto"/>
        <w:jc w:val="center"/>
        <w:outlineLvl w:val="0"/>
      </w:pPr>
      <w:bookmarkStart w:id="1001" w:name="_Toc_ch1"/>
      <w:r>
        <w:rPr>
          <w:rFonts w:ascii="Times New Roman" w:hAnsi="Times New Roman" w:cs="Times New Roman" w:eastAsia="Times New Roman"/>
          <w:b/>
          <w:bCs/>
          <w:sz w:val="28"/>
          <w:szCs w:val="28"/>
        </w:rPr>
        <w:t xml:space="preserve">INTRODUCTION</w:t>
      </w:r>
      <w:bookmarkEnd w:id="1001"/>
    </w:p>
    <w:p>
      <w:pPr>
        <w:keepNext/>
        <w:spacing w:before="200" w:after="100" w:line="276" w:lineRule="auto"/>
        <w:outlineLvl w:val="1"/>
      </w:pPr>
      <w:bookmarkStart w:id="1002" w:name="_Toc_1_1"/>
      <w:r>
        <w:rPr>
          <w:rFonts w:ascii="Times New Roman" w:hAnsi="Times New Roman" w:cs="Times New Roman" w:eastAsia="Times New Roman"/>
          <w:b/>
          <w:bCs/>
          <w:sz w:val="24"/>
          <w:szCs w:val="24"/>
        </w:rPr>
        <w:t xml:space="preserve">1.1  Background</w:t>
      </w:r>
      <w:bookmarkEnd w:id="1002"/>
    </w:p>
    <w:p>
      <w:pPr>
        <w:spacing w:before="0" w:after="120" w:line="276" w:lineRule="auto"/>
        <w:jc w:val="both"/>
      </w:pPr>
      <w:r>
        <w:rPr>
          <w:rFonts w:ascii="Times New Roman" w:hAnsi="Times New Roman" w:cs="Times New Roman" w:eastAsia="Times New Roman"/>
          <w:sz w:val="24"/>
          <w:szCs w:val="24"/>
        </w:rPr>
        <w:t xml:space="preserve">Consider what happens when a student leader submits a capstone report; that single event concerns the project, the team, three students, the guide who will, in practice, confirm it and the report version being submitted. A process-mining tool, however, needs to know which one of these is the case.</w:t>
      </w:r>
    </w:p>
    <w:p>
      <w:pPr>
        <w:spacing w:before="0" w:after="120" w:line="276" w:lineRule="auto"/>
        <w:jc w:val="both"/>
      </w:pPr>
      <w:r>
        <w:rPr>
          <w:rFonts w:ascii="Times New Roman" w:hAnsi="Times New Roman" w:cs="Times New Roman" w:eastAsia="Times New Roman"/>
          <w:sz w:val="24"/>
          <w:szCs w:val="24"/>
        </w:rPr>
        <w:t xml:space="preserve">The project is motivated by this question. Against this backdrop, classic process mining starts from an event log in which every event has a case identifier, an activity name and a timestamp; the methods built on top of it (discovery, conformance checking, bottleneck analysis) assume that each event belongs to exactly one case.</w:t>
      </w:r>
    </w:p>
    <w:p>
      <w:pPr>
        <w:spacing w:before="0" w:after="120" w:line="276" w:lineRule="auto"/>
        <w:jc w:val="both"/>
      </w:pPr>
      <w:r>
        <w:rPr>
          <w:rFonts w:ascii="Times New Roman" w:hAnsi="Times New Roman" w:cs="Times New Roman" w:eastAsia="Times New Roman"/>
          <w:sz w:val="24"/>
          <w:szCs w:val="24"/>
        </w:rPr>
        <w:t xml:space="preserve">If the project is chosen as the case, each project's history stays together, but the guide's workload across all projects disappears; if the student is chosen, the same submission appears three times, once per team member. One useful comparison is a group photograph. A flat view cuts one person out of the picture, and every person can be cut out in turn, but the resulting set of cut-outs no longer reveals who was standing next to whom.</w:t>
      </w:r>
    </w:p>
    <w:p>
      <w:pPr>
        <w:spacing w:before="0" w:after="120" w:line="276" w:lineRule="auto"/>
        <w:jc w:val="both"/>
      </w:pPr>
      <w:r>
        <w:rPr>
          <w:rFonts w:ascii="Times New Roman" w:hAnsi="Times New Roman" w:cs="Times New Roman" w:eastAsia="Times New Roman"/>
          <w:sz w:val="24"/>
          <w:szCs w:val="24"/>
        </w:rPr>
        <w:t xml:space="preserve">The literature names these distortions. When one event is copied into several cases, the result is </w:t>
      </w:r>
      <w:r>
        <w:rPr>
          <w:rFonts w:ascii="Times New Roman" w:hAnsi="Times New Roman" w:cs="Times New Roman" w:eastAsia="Times New Roman"/>
          <w:i/>
          <w:iCs/>
          <w:sz w:val="24"/>
          <w:szCs w:val="24"/>
        </w:rPr>
        <w:t xml:space="preserve">convergence</w:t>
      </w:r>
      <w:r>
        <w:rPr>
          <w:rFonts w:ascii="Times New Roman" w:hAnsi="Times New Roman" w:cs="Times New Roman" w:eastAsia="Times New Roman"/>
          <w:sz w:val="24"/>
          <w:szCs w:val="24"/>
        </w:rPr>
        <w:t xml:space="preserve">, and when repeated events that belong to different objects of another type are merged into one case, the result is </w:t>
      </w:r>
      <w:r>
        <w:rPr>
          <w:rFonts w:ascii="Times New Roman" w:hAnsi="Times New Roman" w:cs="Times New Roman" w:eastAsia="Times New Roman"/>
          <w:i/>
          <w:iCs/>
          <w:sz w:val="24"/>
          <w:szCs w:val="24"/>
        </w:rPr>
        <w:t xml:space="preserve">divergence</w:t>
      </w:r>
      <w:r>
        <w:rPr>
          <w:rFonts w:ascii="Times New Roman" w:hAnsi="Times New Roman" w:cs="Times New Roman" w:eastAsia="Times New Roman"/>
          <w:sz w:val="24"/>
          <w:szCs w:val="24"/>
        </w:rPr>
        <w:t xml:space="preserve"> [1]. Events that have no object of the chosen type are dropped from the flat log altogether, which is called </w:t>
      </w:r>
      <w:r>
        <w:rPr>
          <w:rFonts w:ascii="Times New Roman" w:hAnsi="Times New Roman" w:cs="Times New Roman" w:eastAsia="Times New Roman"/>
          <w:i/>
          <w:iCs/>
          <w:sz w:val="24"/>
          <w:szCs w:val="24"/>
        </w:rPr>
        <w:t xml:space="preserve">deficiency</w:t>
      </w:r>
      <w:r>
        <w:rPr>
          <w:rFonts w:ascii="Times New Roman" w:hAnsi="Times New Roman" w:cs="Times New Roman" w:eastAsia="Times New Roman"/>
          <w:sz w:val="24"/>
          <w:szCs w:val="24"/>
        </w:rPr>
        <w:t xml:space="preserve">.</w:t>
      </w:r>
    </w:p>
    <w:p>
      <w:pPr>
        <w:spacing w:before="0" w:after="120" w:line="276" w:lineRule="auto"/>
        <w:jc w:val="both"/>
      </w:pPr>
      <w:r>
        <w:rPr>
          <w:rFonts w:ascii="Times New Roman" w:hAnsi="Times New Roman" w:cs="Times New Roman" w:eastAsia="Times New Roman"/>
          <w:sz w:val="24"/>
          <w:szCs w:val="24"/>
        </w:rPr>
        <w:t xml:space="preserve">Object-centric event logs avoid this choice. One event can refer to any number of objects, each with a type, and objects can also be linked to each other. OCEL 2.0 [2] standardises this structure, with JSON, XML and SQLite formats, a qualifier on every link, and object attributes that can change over time.</w:t>
      </w:r>
    </w:p>
    <w:p>
      <w:pPr>
        <w:spacing w:before="0" w:after="120" w:line="276" w:lineRule="auto"/>
        <w:jc w:val="both"/>
      </w:pPr>
      <w:r>
        <w:rPr>
          <w:rFonts w:ascii="Times New Roman" w:hAnsi="Times New Roman" w:cs="Times New Roman" w:eastAsia="Times New Roman"/>
          <w:sz w:val="24"/>
          <w:szCs w:val="24"/>
        </w:rPr>
        <w:t xml:space="preserve">Several studies reveal why this structure matters. Keeping the object graph improves machine-learning tasks on process data in comparison to flattened features [3], and Adams and van der Aalst [4] tackle convergence, divergence and deficiency together. In parallel, one-to-many links yielded false directly-follows relations in a food-company case study [5], and object-centric data has quality problems of its own [6]. In education, Miri et al. [7] converted Moodle activity into OCEL and found that group and resource links remain invisible in a student-centric log.</w:t>
      </w:r>
    </w:p>
    <w:p>
      <w:pPr>
        <w:spacing w:before="0" w:after="120" w:line="276" w:lineRule="auto"/>
        <w:jc w:val="both"/>
      </w:pPr>
      <w:r>
        <w:rPr>
          <w:rFonts w:ascii="Times New Roman" w:hAnsi="Times New Roman" w:cs="Times New Roman" w:eastAsia="Times New Roman"/>
          <w:sz w:val="24"/>
          <w:szCs w:val="24"/>
        </w:rPr>
        <w:t xml:space="preserve">What we could not find was a study that measures these effects across several real logs. The problem is generally acknowledged; nonetheless, its size has not been reported. Suitable public data does exist: the Open University Learning Analytics Dataset (OULAD) [8] covers students, courses and assessments, and CROP [9] links Gerrit code reviews to code changes, a process closely related to report review.</w:t>
      </w:r>
    </w:p>
    <w:p>
      <w:pPr>
        <w:spacing w:before="0" w:after="120" w:line="276" w:lineRule="auto"/>
        <w:jc w:val="both"/>
      </w:pPr>
      <w:r>
        <w:rPr>
          <w:rFonts w:ascii="Times New Roman" w:hAnsi="Times New Roman" w:cs="Times New Roman" w:eastAsia="Times New Roman"/>
          <w:sz w:val="24"/>
          <w:szCs w:val="24"/>
        </w:rPr>
        <w:t xml:space="preserve">A capstone has the same structure. Hassani et al. [10] describe a department supervising more than 250 final-year computing projects, and Premchaiswadi and Porouhan [11] mined an online peer-review process and found bottlenecks and rule violations in reviewer handling. The Educational Capstone Portal, whose architecture is documented in our project repository, handles registration, team formation, report compilation, three review stages, faculty decisions and scoring; it writes an audit-log row for every state change. Its process is therefore strongly object-centric.</w:t>
      </w:r>
    </w:p>
    <w:p>
      <w:pPr>
        <w:spacing w:before="0" w:after="120" w:line="276" w:lineRule="auto"/>
        <w:jc w:val="both"/>
      </w:pPr>
      <w:r>
        <w:rPr>
          <w:rFonts w:ascii="Times New Roman" w:hAnsi="Times New Roman" w:cs="Times New Roman" w:eastAsia="Times New Roman"/>
          <w:sz w:val="24"/>
          <w:szCs w:val="24"/>
        </w:rPr>
        <w:t xml:space="preserve">We set out to study that process directly, yet portal logs could not be obtained, and no public capstone or thesis-management event log was found. We therefore narrowed what we claim: the capstone is offered as a documented OCEL 2.0 design, and the measurements are made on seven real public logs [16]. This report keeps the two parts clearly separate.</w:t>
      </w:r>
    </w:p>
    <w:p>
      <w:pPr>
        <w:keepNext/>
        <w:spacing w:before="200" w:after="100" w:line="276" w:lineRule="auto"/>
        <w:outlineLvl w:val="1"/>
      </w:pPr>
      <w:bookmarkStart w:id="1003" w:name="_Toc_1_2"/>
      <w:r>
        <w:rPr>
          <w:rFonts w:ascii="Times New Roman" w:hAnsi="Times New Roman" w:cs="Times New Roman" w:eastAsia="Times New Roman"/>
          <w:b/>
          <w:bCs/>
          <w:sz w:val="24"/>
          <w:szCs w:val="24"/>
        </w:rPr>
        <w:t xml:space="preserve">1.2  Motivations</w:t>
      </w:r>
      <w:bookmarkEnd w:id="1003"/>
    </w:p>
    <w:p>
      <w:pPr>
        <w:spacing w:before="0" w:after="120" w:line="276" w:lineRule="auto"/>
        <w:jc w:val="both"/>
      </w:pPr>
      <w:r>
        <w:rPr>
          <w:rFonts w:ascii="Times New Roman" w:hAnsi="Times New Roman" w:cs="Times New Roman" w:eastAsia="Times New Roman"/>
          <w:sz w:val="24"/>
          <w:szCs w:val="24"/>
        </w:rPr>
        <w:t xml:space="preserve">First, flattening happens without notice. Tools apply it by default and rarely report how many events were copied, dropped or merged.</w:t>
      </w:r>
    </w:p>
    <w:p>
      <w:pPr>
        <w:spacing w:before="0" w:after="120" w:line="276" w:lineRule="auto"/>
        <w:jc w:val="both"/>
      </w:pPr>
      <w:r>
        <w:rPr>
          <w:rFonts w:ascii="Times New Roman" w:hAnsi="Times New Roman" w:cs="Times New Roman" w:eastAsia="Times New Roman"/>
          <w:sz w:val="24"/>
          <w:szCs w:val="24"/>
        </w:rPr>
        <w:t xml:space="preserve">Second, the evidence is thin. Convergence and divergence are ordinarily explained with small examples or a single case study, and we found no work that reports how often and how strongly they occur across several real logs.</w:t>
      </w:r>
    </w:p>
    <w:p>
      <w:pPr>
        <w:spacing w:before="0" w:after="120" w:line="276" w:lineRule="auto"/>
        <w:jc w:val="both"/>
      </w:pPr>
      <w:r>
        <w:rPr>
          <w:rFonts w:ascii="Times New Roman" w:hAnsi="Times New Roman" w:cs="Times New Roman" w:eastAsia="Times New Roman"/>
          <w:sz w:val="24"/>
          <w:szCs w:val="24"/>
        </w:rPr>
        <w:t xml:space="preserve">Third, capstones are coordination work. The questions that matter in practice (whether one guide is overloaded, or which team resubmits repeatedly) cut across cases, so a case-centric view does not fit them.</w:t>
      </w:r>
    </w:p>
    <w:p>
      <w:pPr>
        <w:spacing w:before="0" w:after="120" w:line="276" w:lineRule="auto"/>
        <w:jc w:val="both"/>
      </w:pPr>
      <w:r>
        <w:rPr>
          <w:rFonts w:ascii="Times New Roman" w:hAnsi="Times New Roman" w:cs="Times New Roman" w:eastAsia="Times New Roman"/>
          <w:sz w:val="24"/>
          <w:szCs w:val="24"/>
        </w:rPr>
        <w:t xml:space="preserve">Fourth, our claims are restricted to the data we can access. Portal data is not available to us, so a re-runnable measurement on public logs is the strongest evidence we can offer.</w:t>
      </w:r>
    </w:p>
    <w:p>
      <w:pPr>
        <w:keepNext/>
        <w:spacing w:before="200" w:after="100" w:line="276" w:lineRule="auto"/>
        <w:outlineLvl w:val="1"/>
      </w:pPr>
      <w:bookmarkStart w:id="1004" w:name="_Toc_1_3"/>
      <w:r>
        <w:rPr>
          <w:rFonts w:ascii="Times New Roman" w:hAnsi="Times New Roman" w:cs="Times New Roman" w:eastAsia="Times New Roman"/>
          <w:b/>
          <w:bCs/>
          <w:sz w:val="24"/>
          <w:szCs w:val="24"/>
        </w:rPr>
        <w:t xml:space="preserve">1.3  Scope of the Project</w:t>
      </w:r>
      <w:bookmarkEnd w:id="1004"/>
    </w:p>
    <w:p>
      <w:pPr>
        <w:spacing w:before="0" w:after="120" w:line="276" w:lineRule="auto"/>
        <w:jc w:val="both"/>
      </w:pPr>
      <w:r>
        <w:rPr>
          <w:rFonts w:ascii="Times New Roman" w:hAnsi="Times New Roman" w:cs="Times New Roman" w:eastAsia="Times New Roman"/>
          <w:sz w:val="24"/>
          <w:szCs w:val="24"/>
        </w:rPr>
        <w:t xml:space="preserve">Table 1.1 states what the project covers and what it does not, so that its limits are clear from the start.</w:t>
      </w:r>
    </w:p>
    <w:p>
      <w:pPr>
        <w:keepNext/>
        <w:spacing w:before="160" w:after="80" w:line="240" w:lineRule="auto"/>
        <w:jc w:val="center"/>
      </w:pPr>
      <w:bookmarkStart w:id="1005" w:name="_Tab_1_1"/>
      <w:r>
        <w:rPr>
          <w:rFonts w:ascii="Times New Roman" w:hAnsi="Times New Roman" w:cs="Times New Roman" w:eastAsia="Times New Roman"/>
          <w:b/>
          <w:bCs/>
          <w:sz w:val="20"/>
          <w:szCs w:val="20"/>
        </w:rPr>
        <w:t xml:space="preserve">Table 1.1: </w:t>
      </w:r>
      <w:r>
        <w:rPr>
          <w:rFonts w:ascii="Times New Roman" w:hAnsi="Times New Roman" w:cs="Times New Roman" w:eastAsia="Times New Roman"/>
          <w:sz w:val="20"/>
          <w:szCs w:val="20"/>
        </w:rPr>
        <w:t xml:space="preserve">Scope of the project</w:t>
      </w:r>
      <w:bookmarkEnd w:id="100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537"/>
        <w:gridCol w:w="4537"/>
      </w:tblGrid>
      <w:tr>
        <w:trPr>
          <w:cantSplit/>
          <w:tblHeader/>
        </w:trPr>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 scope</w:t>
            </w:r>
          </w:p>
        </w:tc>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Out of scope</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 OCEL 2.0 model of the capstone lifecycle, designed from the portal documentation</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Any claim about how real capstone teams behave; no portal data was used</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re-runnable pipeline: download, verify, convert, load, analyse</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Predictive monitoring on flat versus object-centric logs</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Flattening distortion for 38 case notions on seven real public logs</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human labelling of the findings by a second rater</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consequence analysis: activity rankings, directly-follows edges, variants, entity rankings and discovered models, flat versus object-centric</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Integrating a portal adapter; this is future work</w:t>
            </w:r>
          </w:p>
        </w:tc>
      </w:tr>
      <w:tr>
        <w:trPr>
          <w:cantSplit/>
        </w:trPr>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Independent checks of our own code, and a documented list of bugs they found</w:t>
            </w:r>
          </w:p>
        </w:tc>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Synthetic or simulated data of any kind</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Two further points apply. A rule-based engine from our earlier work is kept at appendix level, since eleven rules on two logs cannot support a conclusion. In addition, a Moodle log from the University of Cádiz was downloaded as an eighth source but is not used in any result.</w:t>
      </w:r>
    </w:p>
    <w:p>
      <w:pPr>
        <w:spacing w:before="0" w:after="120" w:line="276" w:lineRule="auto"/>
        <w:jc w:val="both"/>
      </w:pPr>
      <w:r>
        <w:rPr>
          <w:rFonts w:ascii="Times New Roman" w:hAnsi="Times New Roman" w:cs="Times New Roman" w:eastAsia="Times New Roman"/>
          <w:sz w:val="24"/>
          <w:szCs w:val="24"/>
        </w:rPr>
        <w:t xml:space="preserve">The report is organised as follows. Chapter 2 covers the literature and the plan, Chapter 3 the requirements and feasibility, Chapter 4 the design, Chapter 5 the modules and testing, Chapter 6 the demonstration, Chapter 7 the results and cost, Chapter 8 the conclusion and Chapter 9 the references. Appendix A includes sample code.</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2</w:t>
      </w:r>
    </w:p>
    <w:p>
      <w:pPr>
        <w:keepNext/>
        <w:spacing w:before="0" w:after="240" w:line="276" w:lineRule="auto"/>
        <w:jc w:val="center"/>
        <w:outlineLvl w:val="0"/>
      </w:pPr>
      <w:bookmarkStart w:id="1006" w:name="_Toc_ch2"/>
      <w:r>
        <w:rPr>
          <w:rFonts w:ascii="Times New Roman" w:hAnsi="Times New Roman" w:cs="Times New Roman" w:eastAsia="Times New Roman"/>
          <w:b/>
          <w:bCs/>
          <w:sz w:val="28"/>
          <w:szCs w:val="28"/>
        </w:rPr>
        <w:t xml:space="preserve">PROJECT DESCRIPTION AND GOALS</w:t>
      </w:r>
      <w:bookmarkEnd w:id="1006"/>
    </w:p>
    <w:p>
      <w:pPr>
        <w:keepNext/>
        <w:spacing w:before="200" w:after="100" w:line="276" w:lineRule="auto"/>
        <w:outlineLvl w:val="1"/>
      </w:pPr>
      <w:bookmarkStart w:id="1007" w:name="_Toc_2_1"/>
      <w:r>
        <w:rPr>
          <w:rFonts w:ascii="Times New Roman" w:hAnsi="Times New Roman" w:cs="Times New Roman" w:eastAsia="Times New Roman"/>
          <w:b/>
          <w:bCs/>
          <w:sz w:val="24"/>
          <w:szCs w:val="24"/>
        </w:rPr>
        <w:t xml:space="preserve">2.1  Literature Review</w:t>
      </w:r>
      <w:bookmarkEnd w:id="1007"/>
    </w:p>
    <w:p>
      <w:pPr>
        <w:spacing w:before="0" w:after="120" w:line="276" w:lineRule="auto"/>
        <w:jc w:val="both"/>
      </w:pPr>
      <w:r>
        <w:rPr>
          <w:rFonts w:ascii="Times New Roman" w:hAnsi="Times New Roman" w:cs="Times New Roman" w:eastAsia="Times New Roman"/>
          <w:sz w:val="24"/>
          <w:szCs w:val="24"/>
        </w:rPr>
        <w:t xml:space="preserve">The literature falls into four groups: the flattening problem itself, the OCEL format, what flattening does to results and to data quality, and the education and capstone papers. Table 2.1 sums up the ones that matter most for our questions, and the full list is in Chapter 9.</w:t>
      </w:r>
    </w:p>
    <w:p>
      <w:pPr>
        <w:keepNext/>
        <w:spacing w:before="160" w:after="80" w:line="240" w:lineRule="auto"/>
        <w:jc w:val="center"/>
      </w:pPr>
      <w:bookmarkStart w:id="1008" w:name="_Tab_2_1"/>
      <w:r>
        <w:rPr>
          <w:rFonts w:ascii="Times New Roman" w:hAnsi="Times New Roman" w:cs="Times New Roman" w:eastAsia="Times New Roman"/>
          <w:b/>
          <w:bCs/>
          <w:sz w:val="20"/>
          <w:szCs w:val="20"/>
        </w:rPr>
        <w:t xml:space="preserve">Table 2.1: </w:t>
      </w:r>
      <w:r>
        <w:rPr>
          <w:rFonts w:ascii="Times New Roman" w:hAnsi="Times New Roman" w:cs="Times New Roman" w:eastAsia="Times New Roman"/>
          <w:sz w:val="20"/>
          <w:szCs w:val="20"/>
        </w:rPr>
        <w:t xml:space="preserve">Summary of the reviewed literature</w:t>
      </w:r>
      <w:bookmarkEnd w:id="1008"/>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575"/>
        <w:gridCol w:w="1701"/>
        <w:gridCol w:w="1890"/>
        <w:gridCol w:w="2016"/>
        <w:gridCol w:w="1890"/>
      </w:tblGrid>
      <w:tr>
        <w:trPr>
          <w:cantSplit/>
          <w:tblHeader/>
        </w:trPr>
        <w:tc>
          <w:tcPr>
            <w:tcW w:w="157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Ref.</w:t>
            </w:r>
          </w:p>
        </w:tc>
        <w:tc>
          <w:tcPr>
            <w:tcW w:w="170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Objective</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Method</w:t>
            </w:r>
          </w:p>
        </w:tc>
        <w:tc>
          <w:tcPr>
            <w:tcW w:w="2016"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Strength and limitation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Finding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van der Aalst (2019) [1]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Name the problems of one-case-per-event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Conceptual analysis with worked examples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Defines convergence and divergence. No measurement on real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Flattening copies events across cases or mis-orders them</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Berti et al. (2024) [2]</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A standard exchange format for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OCEL 2.0 specification: JSON, XML, SQLite, qualifiers, O2O links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Expressive, with tool support. Extraction still needs domain decisions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 event can relate to many typed objects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Adams, Park, van der Aalst (2023) [3]</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Keep object-centric graph structure for machine learning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Compare graph encodings with flattened features on predictive tasks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Shows the value of structure. Focus is prediction, not analysis outputs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Structure-preserving encodings are favoured over flattening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Waibel et al. (2022) [5]</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Causal structure from relational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Causal event graph on one food-company case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Avoids false edges. Only one case study</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One-to-many and many-to-many links give spurious directly-follows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Kabierski et al. (2026) [6]</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Classify quality issues in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Classification checked on real logs and practitioner interviews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Practitioner-validated. Classifies issues but gives no distortion rates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data has quality problems of its own, e.g. wrong object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Miri et al. (2026) [7]</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educational process mining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Moodle to OCEL conversion, real course case study</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First educational use. One course, not a transactional lifecycle</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Group and resource links are invisible in student-centric logs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Premchaiswadi, Porouhan (2015) [11]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Mine a peer-review process in an online system</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Event log from review handling; discovery and conformance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Real review workflow. One case notion</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Bottlenecks and rule violations found in reviewer handling</w:t>
            </w:r>
          </w:p>
        </w:tc>
      </w:tr>
      <w:tr>
        <w:trPr>
          <w:cantSplit/>
        </w:trPr>
        <w:tc>
          <w:tcPr>
            <w:tcW w:w="1575" w:type="dxa"/>
            <w:vAlign w:val="center"/>
          </w:tcPr>
          <w:p>
            <w:pPr>
              <w:spacing w:before="0" w:after="0" w:line="240" w:lineRule="auto"/>
              <w:jc w:val="left"/>
            </w:pPr>
            <w:r>
              <w:rPr>
                <w:rFonts w:ascii="Times New Roman" w:hAnsi="Times New Roman" w:cs="Times New Roman" w:eastAsia="Times New Roman"/>
                <w:sz w:val="17"/>
                <w:szCs w:val="17"/>
              </w:rPr>
              <w:t xml:space="preserve">Hassani et al. (2018) [10]</w:t>
            </w:r>
          </w:p>
        </w:tc>
        <w:tc>
          <w:tcPr>
            <w:tcW w:w="1701" w:type="dxa"/>
            <w:vAlign w:val="center"/>
          </w:tcPr>
          <w:p>
            <w:pPr>
              <w:spacing w:before="0" w:after="0" w:line="240" w:lineRule="auto"/>
              <w:jc w:val="left"/>
            </w:pPr>
            <w:r>
              <w:rPr>
                <w:rFonts w:ascii="Times New Roman" w:hAnsi="Times New Roman" w:cs="Times New Roman" w:eastAsia="Times New Roman"/>
                <w:sz w:val="17"/>
                <w:szCs w:val="17"/>
              </w:rPr>
              <w:t xml:space="preserve">Manage more than 250 computing final-year projects</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Case study of supervision, panels and rubrics</w:t>
            </w:r>
          </w:p>
        </w:tc>
        <w:tc>
          <w:tcPr>
            <w:tcW w:w="2016" w:type="dxa"/>
            <w:vAlign w:val="center"/>
          </w:tcPr>
          <w:p>
            <w:pPr>
              <w:spacing w:before="0" w:after="0" w:line="240" w:lineRule="auto"/>
              <w:jc w:val="left"/>
            </w:pPr>
            <w:r>
              <w:rPr>
                <w:rFonts w:ascii="Times New Roman" w:hAnsi="Times New Roman" w:cs="Times New Roman" w:eastAsia="Times New Roman"/>
                <w:sz w:val="17"/>
                <w:szCs w:val="17"/>
              </w:rPr>
              <w:t xml:space="preserve">Real capstone practice. No event data</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Capstones need coordinated supervision, submission and assessment</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On the flattening problem itself, van der Aalst [1] explained why one-case-per-event logs misrepresent processes with several interacting entities, and Adams and van der Aalst [4] went on to cover convergence, divergence and deficiency together. Both papers are conceptual, and neither reports how often these effects take place in real data.</w:t>
      </w:r>
    </w:p>
    <w:p>
      <w:pPr>
        <w:spacing w:before="0" w:after="120" w:line="276" w:lineRule="auto"/>
        <w:jc w:val="both"/>
      </w:pPr>
      <w:r>
        <w:rPr>
          <w:rFonts w:ascii="Times New Roman" w:hAnsi="Times New Roman" w:cs="Times New Roman" w:eastAsia="Times New Roman"/>
          <w:sz w:val="24"/>
          <w:szCs w:val="24"/>
        </w:rPr>
        <w:t xml:space="preserve">OCEL 2.0 [2] is the format we build on; it stores events, objects, event-to-object (E2O) links and object-to-object (O2O) links, each with qualifiers, in JSON, XML or SQLite. Our own converters write the SQLite form, and we read the JSON and XML forms of the public logs.</w:t>
      </w:r>
    </w:p>
    <w:p>
      <w:pPr>
        <w:spacing w:before="0" w:after="120" w:line="276" w:lineRule="auto"/>
        <w:jc w:val="both"/>
      </w:pPr>
      <w:r>
        <w:rPr>
          <w:rFonts w:ascii="Times New Roman" w:hAnsi="Times New Roman" w:cs="Times New Roman" w:eastAsia="Times New Roman"/>
          <w:sz w:val="24"/>
          <w:szCs w:val="24"/>
        </w:rPr>
        <w:t xml:space="preserve">On consequences, Waibel et al. [5] applied a causal event graph to reveal that one-to-many links yield false directly-follows edges, but only on one company's data. Kabierski et al. [6] classified the quality issues of object-centric data; they outline the kinds of problems but do not count them. Adams et al. [3] showed that keeping the object graph helps predictive tasks.</w:t>
      </w:r>
    </w:p>
    <w:p>
      <w:pPr>
        <w:spacing w:before="0" w:after="120" w:line="276" w:lineRule="auto"/>
        <w:jc w:val="both"/>
      </w:pPr>
      <w:r>
        <w:rPr>
          <w:rFonts w:ascii="Times New Roman" w:hAnsi="Times New Roman" w:cs="Times New Roman" w:eastAsia="Times New Roman"/>
          <w:sz w:val="24"/>
          <w:szCs w:val="24"/>
        </w:rPr>
        <w:t xml:space="preserve">In education, Miri et al. [7] is the closest related work, since they applied object-centric mining to Moodle data; this project is therefore not the first use of OCEL in education. Premchaiswadi and Porouhan [11] mined an online peer-review process with a single case notion, and Hassani et al. [10] outline how a department supervises many final-year projects, with no event data.</w:t>
      </w:r>
    </w:p>
    <w:p>
      <w:pPr>
        <w:keepNext/>
        <w:spacing w:before="200" w:after="100" w:line="276" w:lineRule="auto"/>
        <w:outlineLvl w:val="1"/>
      </w:pPr>
      <w:bookmarkStart w:id="1009" w:name="_Toc_2_2"/>
      <w:r>
        <w:rPr>
          <w:rFonts w:ascii="Times New Roman" w:hAnsi="Times New Roman" w:cs="Times New Roman" w:eastAsia="Times New Roman"/>
          <w:b/>
          <w:bCs/>
          <w:sz w:val="24"/>
          <w:szCs w:val="24"/>
        </w:rPr>
        <w:t xml:space="preserve">2.2  Research Gap</w:t>
      </w:r>
      <w:bookmarkEnd w:id="1009"/>
    </w:p>
    <w:p>
      <w:pPr>
        <w:spacing w:before="0" w:after="120" w:line="276" w:lineRule="auto"/>
        <w:jc w:val="both"/>
      </w:pPr>
      <w:r>
        <w:rPr>
          <w:rFonts w:ascii="Times New Roman" w:hAnsi="Times New Roman" w:cs="Times New Roman" w:eastAsia="Times New Roman"/>
          <w:sz w:val="24"/>
          <w:szCs w:val="24"/>
        </w:rPr>
        <w:t xml:space="preserve">Taken together, the reviewed work leaves three gaps.</w:t>
      </w:r>
    </w:p>
    <w:p>
      <w:pPr>
        <w:spacing w:before="0" w:after="120" w:line="276" w:lineRule="auto"/>
        <w:jc w:val="both"/>
      </w:pPr>
      <w:r>
        <w:rPr>
          <w:rFonts w:ascii="Times New Roman" w:hAnsi="Times New Roman" w:cs="Times New Roman" w:eastAsia="Times New Roman"/>
          <w:sz w:val="24"/>
          <w:szCs w:val="24"/>
        </w:rPr>
        <w:t xml:space="preserve">First, flattening problems are named but not measured: convergence and divergence appear in small or single-case examples, and most of the object-centric evidence we found uses simulated logs.</w:t>
      </w:r>
    </w:p>
    <w:p>
      <w:pPr>
        <w:spacing w:before="0" w:after="120" w:line="276" w:lineRule="auto"/>
        <w:jc w:val="both"/>
      </w:pPr>
      <w:r>
        <w:rPr>
          <w:rFonts w:ascii="Times New Roman" w:hAnsi="Times New Roman" w:cs="Times New Roman" w:eastAsia="Times New Roman"/>
          <w:sz w:val="24"/>
          <w:szCs w:val="24"/>
        </w:rPr>
        <w:t xml:space="preserve">Second, work on education and capstones relies on learning-platform data, since object-centric educational mining uses Moodle activity. A review lifecycle with submit, review, reject, resubmit and score has no public object-centric dataset.</w:t>
      </w:r>
    </w:p>
    <w:p>
      <w:pPr>
        <w:spacing w:before="0" w:after="120" w:line="276" w:lineRule="auto"/>
        <w:jc w:val="both"/>
      </w:pPr>
      <w:r>
        <w:rPr>
          <w:rFonts w:ascii="Times New Roman" w:hAnsi="Times New Roman" w:cs="Times New Roman" w:eastAsia="Times New Roman"/>
          <w:sz w:val="24"/>
          <w:szCs w:val="24"/>
        </w:rPr>
        <w:t xml:space="preserve">Third, capstone portal logs are not available. Searches of Zenodo, 4TU and the web found no public capstone or thesis-management event log, so we cannot test the capstone claim directly.</w:t>
      </w:r>
    </w:p>
    <w:p>
      <w:pPr>
        <w:spacing w:before="0" w:after="120" w:line="276" w:lineRule="auto"/>
        <w:jc w:val="both"/>
      </w:pPr>
      <w:r>
        <w:rPr>
          <w:rFonts w:ascii="Times New Roman" w:hAnsi="Times New Roman" w:cs="Times New Roman" w:eastAsia="Times New Roman"/>
          <w:sz w:val="24"/>
          <w:szCs w:val="24"/>
        </w:rPr>
        <w:t xml:space="preserve">Our strategy is therefore to measure flattening on real review-like and multi-entity logs, to give the capstone an OCEL 2.0 model, and to state the limits explicitly.</w:t>
      </w:r>
    </w:p>
    <w:p>
      <w:pPr>
        <w:keepNext/>
        <w:spacing w:before="200" w:after="100" w:line="276" w:lineRule="auto"/>
        <w:outlineLvl w:val="1"/>
      </w:pPr>
      <w:bookmarkStart w:id="1010" w:name="_Toc_2_3"/>
      <w:r>
        <w:rPr>
          <w:rFonts w:ascii="Times New Roman" w:hAnsi="Times New Roman" w:cs="Times New Roman" w:eastAsia="Times New Roman"/>
          <w:b/>
          <w:bCs/>
          <w:sz w:val="24"/>
          <w:szCs w:val="24"/>
        </w:rPr>
        <w:t xml:space="preserve">2.3  Objectives</w:t>
      </w:r>
      <w:bookmarkEnd w:id="1010"/>
    </w:p>
    <w:p>
      <w:pPr>
        <w:spacing w:before="0" w:after="120" w:line="276" w:lineRule="auto"/>
        <w:jc w:val="both"/>
      </w:pPr>
      <w:r>
        <w:rPr>
          <w:rFonts w:ascii="Times New Roman" w:hAnsi="Times New Roman" w:cs="Times New Roman" w:eastAsia="Times New Roman"/>
          <w:sz w:val="24"/>
          <w:szCs w:val="24"/>
        </w:rPr>
        <w:t xml:space="preserve">The project has five objectives, listed in the order we worked on them.</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O1. Model the capstone lifecycle as OCEL 2.0 from the documented portal behaviour.</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O2. Build a reproducible pipeline: download, verify, convert, load and analyse.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O3. Measure flattening distortion on seven real logs without hand-picked rules.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O4. Compare standard outputs (activity rankings, directly-follows edges, variants, entity counts and discovered process models) between flat and object-centric views.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O5. Verify every result with independent checks and keep the code re-runnable.</w:t>
      </w:r>
    </w:p>
    <w:p>
      <w:pPr>
        <w:spacing w:before="0" w:after="120" w:line="276" w:lineRule="auto"/>
        <w:jc w:val="both"/>
      </w:pPr>
      <w:r>
        <w:rPr>
          <w:rFonts w:ascii="Times New Roman" w:hAnsi="Times New Roman" w:cs="Times New Roman" w:eastAsia="Times New Roman"/>
          <w:sz w:val="24"/>
          <w:szCs w:val="24"/>
        </w:rPr>
        <w:t xml:space="preserve">The work touches two of the United Nations Sustainable Development Goals: Goal 4, Quality Education, since it concerns how academic review processes are recorded and understood, and Goal 9, Industry, Innovation and Infrastructure, since it adds open tooling for object-centric process data. On the Technology Readiness Level scale the pipeline is placed at TRL 4 (validated in the laboratory, on seven public logs) and portal integration at TRL 2 to 3; those levels are our own estimate.</w:t>
      </w:r>
    </w:p>
    <w:p>
      <w:pPr>
        <w:keepNext/>
        <w:spacing w:before="200" w:after="100" w:line="276" w:lineRule="auto"/>
        <w:outlineLvl w:val="1"/>
      </w:pPr>
      <w:bookmarkStart w:id="1011" w:name="_Toc_2_4"/>
      <w:r>
        <w:rPr>
          <w:rFonts w:ascii="Times New Roman" w:hAnsi="Times New Roman" w:cs="Times New Roman" w:eastAsia="Times New Roman"/>
          <w:b/>
          <w:bCs/>
          <w:sz w:val="24"/>
          <w:szCs w:val="24"/>
        </w:rPr>
        <w:t xml:space="preserve">2.4  Problem Statement</w:t>
      </w:r>
      <w:bookmarkEnd w:id="1011"/>
    </w:p>
    <w:p>
      <w:pPr>
        <w:spacing w:before="0" w:after="120" w:line="276" w:lineRule="auto"/>
        <w:jc w:val="both"/>
      </w:pPr>
      <w:r>
        <w:rPr>
          <w:rFonts w:ascii="Times New Roman" w:hAnsi="Times New Roman" w:cs="Times New Roman" w:eastAsia="Times New Roman"/>
          <w:sz w:val="24"/>
          <w:szCs w:val="24"/>
        </w:rPr>
        <w:t xml:space="preserve">We have an object-centric event log with several object types, and one type is picked as the case notion. Two questions follow. How much does the flat log differ from the object-centric one, that is, how many events are copied, dropped or merged? And do those differences change what an analyst reads from the standard outputs: activity rankings, directly-follows edges, process variants, entity rankings and discovered models? Both questions must be answered on real data only, with checks that do not depend on our own code; also, even though no portal data exists, the capstone lifecycle must be specified in OCEL 2.0.</w:t>
      </w:r>
    </w:p>
    <w:p>
      <w:pPr>
        <w:keepNext/>
        <w:spacing w:before="200" w:after="100" w:line="276" w:lineRule="auto"/>
        <w:outlineLvl w:val="1"/>
      </w:pPr>
      <w:bookmarkStart w:id="1012" w:name="_Toc_2_5"/>
      <w:r>
        <w:rPr>
          <w:rFonts w:ascii="Times New Roman" w:hAnsi="Times New Roman" w:cs="Times New Roman" w:eastAsia="Times New Roman"/>
          <w:b/>
          <w:bCs/>
          <w:sz w:val="24"/>
          <w:szCs w:val="24"/>
        </w:rPr>
        <w:t xml:space="preserve">2.5  Project Plan</w:t>
      </w:r>
      <w:bookmarkEnd w:id="1012"/>
    </w:p>
    <w:p>
      <w:pPr>
        <w:spacing w:before="0" w:after="120" w:line="276" w:lineRule="auto"/>
        <w:jc w:val="both"/>
      </w:pPr>
      <w:r>
        <w:rPr>
          <w:rFonts w:ascii="Times New Roman" w:hAnsi="Times New Roman" w:cs="Times New Roman" w:eastAsia="Times New Roman"/>
          <w:sz w:val="24"/>
          <w:szCs w:val="24"/>
        </w:rPr>
        <w:t xml:space="preserve">Figure 2.1 shows the project calendar. At Review 2 we presented a prototype that was evaluated on synthetic data; the team then decided to use real data only, so that prototype and its results are excluded from this work. The plan below reflects the work done after that decision.</w:t>
      </w:r>
    </w:p>
    <w:p>
      <w:pPr>
        <w:keepNext/>
        <w:spacing w:before="120" w:after="60" w:line="240" w:lineRule="auto"/>
        <w:jc w:val="center"/>
      </w:pPr>
      <w:r>
        <w:drawing>
          <wp:inline distT="0" distB="0" distL="0" distR="0">
            <wp:extent cx="5394960" cy="2509283"/>
            <wp:docPr id="501" name="Figure 2.1" descr="Project calendar, August to December 2026 (grey bars are not part of the delivere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timeline.png"/>
                    <pic:cNvPicPr/>
                  </pic:nvPicPr>
                  <pic:blipFill>
                    <a:blip r:embed="rIdImg1"/>
                    <a:stretch>
                      <a:fillRect/>
                    </a:stretch>
                  </pic:blipFill>
                  <pic:spPr>
                    <a:xfrm>
                      <a:off x="0" y="0"/>
                      <a:ext cx="5394960" cy="2509283"/>
                    </a:xfrm>
                    <a:prstGeom prst="rect">
                      <a:avLst/>
                    </a:prstGeom>
                  </pic:spPr>
                </pic:pic>
              </a:graphicData>
            </a:graphic>
          </wp:inline>
        </w:drawing>
      </w:r>
    </w:p>
    <w:p>
      <w:pPr>
        <w:spacing w:before="0" w:after="200" w:line="240" w:lineRule="auto"/>
        <w:jc w:val="center"/>
      </w:pPr>
      <w:bookmarkStart w:id="1013" w:name="_Fig_2_1"/>
      <w:r>
        <w:rPr>
          <w:rFonts w:ascii="Times New Roman" w:hAnsi="Times New Roman" w:cs="Times New Roman" w:eastAsia="Times New Roman"/>
          <w:b/>
          <w:bCs/>
          <w:sz w:val="20"/>
          <w:szCs w:val="20"/>
        </w:rPr>
        <w:t xml:space="preserve">Figure 2.1: </w:t>
      </w:r>
      <w:r>
        <w:rPr>
          <w:rFonts w:ascii="Times New Roman" w:hAnsi="Times New Roman" w:cs="Times New Roman" w:eastAsia="Times New Roman"/>
          <w:sz w:val="20"/>
          <w:szCs w:val="20"/>
        </w:rPr>
        <w:t xml:space="preserve">Project calendar, August to December 2026 (grey bars are not part of the delivered work)</w:t>
      </w:r>
      <w:bookmarkEnd w:id="1013"/>
    </w:p>
    <w:p>
      <w:pPr>
        <w:keepNext/>
        <w:spacing w:before="160" w:after="80" w:line="240" w:lineRule="auto"/>
        <w:jc w:val="center"/>
      </w:pPr>
      <w:bookmarkStart w:id="1014" w:name="_Tab_2_2"/>
      <w:r>
        <w:rPr>
          <w:rFonts w:ascii="Times New Roman" w:hAnsi="Times New Roman" w:cs="Times New Roman" w:eastAsia="Times New Roman"/>
          <w:b/>
          <w:bCs/>
          <w:sz w:val="20"/>
          <w:szCs w:val="20"/>
        </w:rPr>
        <w:t xml:space="preserve">Table 2.2: </w:t>
      </w:r>
      <w:r>
        <w:rPr>
          <w:rFonts w:ascii="Times New Roman" w:hAnsi="Times New Roman" w:cs="Times New Roman" w:eastAsia="Times New Roman"/>
          <w:sz w:val="20"/>
          <w:szCs w:val="20"/>
        </w:rPr>
        <w:t xml:space="preserve">Work packages and status</w:t>
      </w:r>
      <w:bookmarkEnd w:id="101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060"/>
        <w:gridCol w:w="4950"/>
        <w:gridCol w:w="3064"/>
      </w:tblGrid>
      <w:tr>
        <w:trPr>
          <w:cantSplit/>
          <w:tblHeader/>
        </w:trPr>
        <w:tc>
          <w:tcPr>
            <w:tcW w:w="10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Work package</w:t>
            </w:r>
          </w:p>
        </w:tc>
        <w:tc>
          <w:tcPr>
            <w:tcW w:w="495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Content</w:t>
            </w:r>
          </w:p>
        </w:tc>
        <w:tc>
          <w:tcPr>
            <w:tcW w:w="30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Status</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WP1</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Literature review and scope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WP2</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Platform study and OCEL 2.0 schema of the capstone lifecycle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 (design only)</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WP3</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Re-scope to real data only; locate and download public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WP4</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CROP and OULAD to OCEL 2.0; profile all seven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WP5</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Distortion metrics and consequence analysis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WP6</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verification, report and presentation</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WP7</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Process-discovery comparison, bootstrap intervals and full-log verification</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WP8</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Journal manuscript</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Submitted to the Journal of Intelligent Information Systems (Springer), October 2026; under review</w:t>
            </w:r>
          </w:p>
        </w:tc>
      </w:tr>
      <w:tr>
        <w:trPr>
          <w:cantSplit/>
        </w:trPr>
        <w:tc>
          <w:tcPr>
            <w:tcW w:w="1060" w:type="dxa"/>
            <w:vAlign w:val="center"/>
          </w:tcPr>
          <w:p>
            <w:pPr>
              <w:spacing w:before="0" w:after="0" w:line="240" w:lineRule="auto"/>
              <w:jc w:val="left"/>
            </w:pPr>
            <w:r>
              <w:rPr>
                <w:rFonts w:ascii="Times New Roman" w:hAnsi="Times New Roman" w:cs="Times New Roman" w:eastAsia="Times New Roman"/>
                <w:sz w:val="20"/>
                <w:szCs w:val="20"/>
              </w:rPr>
              <w:t xml:space="preserve">WP9</w:t>
            </w:r>
          </w:p>
        </w:tc>
        <w:tc>
          <w:tcPr>
            <w:tcW w:w="4950" w:type="dxa"/>
            <w:vAlign w:val="center"/>
          </w:tcPr>
          <w:p>
            <w:pPr>
              <w:spacing w:before="0" w:after="0" w:line="240" w:lineRule="auto"/>
              <w:jc w:val="left"/>
            </w:pPr>
            <w:r>
              <w:rPr>
                <w:rFonts w:ascii="Times New Roman" w:hAnsi="Times New Roman" w:cs="Times New Roman" w:eastAsia="Times New Roman"/>
                <w:sz w:val="20"/>
                <w:szCs w:val="20"/>
              </w:rPr>
              <w:t xml:space="preserve">Independent labelling of the findings</w:t>
            </w:r>
          </w:p>
        </w:tc>
        <w:tc>
          <w:tcPr>
            <w:tcW w:w="3064" w:type="dxa"/>
            <w:vAlign w:val="center"/>
          </w:tcPr>
          <w:p>
            <w:pPr>
              <w:spacing w:before="0" w:after="0" w:line="240" w:lineRule="auto"/>
              <w:jc w:val="left"/>
            </w:pPr>
            <w:r>
              <w:rPr>
                <w:rFonts w:ascii="Times New Roman" w:hAnsi="Times New Roman" w:cs="Times New Roman" w:eastAsia="Times New Roman"/>
                <w:sz w:val="20"/>
                <w:szCs w:val="20"/>
              </w:rPr>
              <w:t xml:space="preserve">Planned</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3</w:t>
      </w:r>
    </w:p>
    <w:p>
      <w:pPr>
        <w:keepNext/>
        <w:spacing w:before="0" w:after="240" w:line="276" w:lineRule="auto"/>
        <w:jc w:val="center"/>
        <w:outlineLvl w:val="0"/>
      </w:pPr>
      <w:bookmarkStart w:id="1015" w:name="_Toc_ch3"/>
      <w:r>
        <w:rPr>
          <w:rFonts w:ascii="Times New Roman" w:hAnsi="Times New Roman" w:cs="Times New Roman" w:eastAsia="Times New Roman"/>
          <w:b/>
          <w:bCs/>
          <w:sz w:val="28"/>
          <w:szCs w:val="28"/>
        </w:rPr>
        <w:t xml:space="preserve">TECHNICAL SPECIFICATION</w:t>
      </w:r>
      <w:bookmarkEnd w:id="1015"/>
    </w:p>
    <w:p>
      <w:pPr>
        <w:keepNext/>
        <w:spacing w:before="200" w:after="100" w:line="276" w:lineRule="auto"/>
        <w:outlineLvl w:val="1"/>
      </w:pPr>
      <w:bookmarkStart w:id="1016" w:name="_Toc_3_1"/>
      <w:r>
        <w:rPr>
          <w:rFonts w:ascii="Times New Roman" w:hAnsi="Times New Roman" w:cs="Times New Roman" w:eastAsia="Times New Roman"/>
          <w:b/>
          <w:bCs/>
          <w:sz w:val="24"/>
          <w:szCs w:val="24"/>
        </w:rPr>
        <w:t xml:space="preserve">3.1  Requirements</w:t>
      </w:r>
      <w:bookmarkEnd w:id="1016"/>
    </w:p>
    <w:p>
      <w:pPr>
        <w:keepNext/>
        <w:spacing w:before="140" w:after="80" w:line="276" w:lineRule="auto"/>
        <w:outlineLvl w:val="2"/>
      </w:pPr>
      <w:bookmarkStart w:id="1017" w:name="_Toc_3_1_1"/>
      <w:r>
        <w:rPr>
          <w:rFonts w:ascii="Times New Roman" w:hAnsi="Times New Roman" w:cs="Times New Roman" w:eastAsia="Times New Roman"/>
          <w:b/>
          <w:bCs/>
          <w:i/>
          <w:iCs/>
          <w:sz w:val="24"/>
          <w:szCs w:val="24"/>
        </w:rPr>
        <w:t xml:space="preserve">3.1.1  Functional</w:t>
      </w:r>
      <w:bookmarkEnd w:id="1017"/>
    </w:p>
    <w:p>
      <w:pPr>
        <w:spacing w:before="0" w:after="120" w:line="276" w:lineRule="auto"/>
        <w:jc w:val="both"/>
      </w:pPr>
      <w:r>
        <w:rPr>
          <w:rFonts w:ascii="Times New Roman" w:hAnsi="Times New Roman" w:cs="Times New Roman" w:eastAsia="Times New Roman"/>
          <w:sz w:val="24"/>
          <w:szCs w:val="24"/>
        </w:rPr>
        <w:t xml:space="preserve">Table 3.1 lists the functional requirements and the module that covers each one; the modules are described in Chapter 5.</w:t>
      </w:r>
    </w:p>
    <w:p>
      <w:pPr>
        <w:keepNext/>
        <w:spacing w:before="160" w:after="80" w:line="240" w:lineRule="auto"/>
        <w:jc w:val="center"/>
      </w:pPr>
      <w:bookmarkStart w:id="1018" w:name="_Tab_3_1"/>
      <w:r>
        <w:rPr>
          <w:rFonts w:ascii="Times New Roman" w:hAnsi="Times New Roman" w:cs="Times New Roman" w:eastAsia="Times New Roman"/>
          <w:b/>
          <w:bCs/>
          <w:sz w:val="20"/>
          <w:szCs w:val="20"/>
        </w:rPr>
        <w:t xml:space="preserve">Table 3.1: </w:t>
      </w:r>
      <w:r>
        <w:rPr>
          <w:rFonts w:ascii="Times New Roman" w:hAnsi="Times New Roman" w:cs="Times New Roman" w:eastAsia="Times New Roman"/>
          <w:sz w:val="20"/>
          <w:szCs w:val="20"/>
        </w:rPr>
        <w:t xml:space="preserve">Functional requirements</w:t>
      </w:r>
      <w:bookmarkEnd w:id="101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77"/>
        <w:gridCol w:w="7260"/>
        <w:gridCol w:w="1037"/>
      </w:tblGrid>
      <w:tr>
        <w:trPr>
          <w:cantSplit/>
          <w:tblHeader/>
        </w:trPr>
        <w:tc>
          <w:tcPr>
            <w:tcW w:w="77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72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The system shall</w:t>
            </w:r>
          </w:p>
        </w:tc>
        <w:tc>
          <w:tcPr>
            <w:tcW w:w="10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Module</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FR1</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Download datasets from a manifest; check size and MD5 where the publisher provides them, and record a SHA-256 for every file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FR2</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Extract archives without trusting member paths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FR3</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Gerrit code reviews (CROP) and OULAD into OCEL 2.0 SQLite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FR4</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Load OCEL from SQLite, JSON, XML and bundled formats, with hashed identifiers for personal data</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FR5</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Compute flattening distortion for every object type of every log</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M3</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FR6</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Compare flat and object-centric outputs: rankings, edges, variants and entities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M4</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FR7</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Validate results with independent implementations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M6</w:t>
            </w:r>
          </w:p>
        </w:tc>
      </w:tr>
      <w:tr>
        <w:trPr>
          <w:cantSplit/>
        </w:trPr>
        <w:tc>
          <w:tcPr>
            <w:tcW w:w="777" w:type="dxa"/>
            <w:vAlign w:val="center"/>
          </w:tcPr>
          <w:p>
            <w:pPr>
              <w:spacing w:before="0" w:after="0" w:line="240" w:lineRule="auto"/>
              <w:jc w:val="center"/>
            </w:pPr>
            <w:r>
              <w:rPr>
                <w:rFonts w:ascii="Times New Roman" w:hAnsi="Times New Roman" w:cs="Times New Roman" w:eastAsia="Times New Roman"/>
                <w:sz w:val="20"/>
                <w:szCs w:val="20"/>
              </w:rPr>
              <w:t xml:space="preserve">FR8</w:t>
            </w:r>
          </w:p>
        </w:tc>
        <w:tc>
          <w:tcPr>
            <w:tcW w:w="7260" w:type="dxa"/>
            <w:vAlign w:val="center"/>
          </w:tcPr>
          <w:p>
            <w:pPr>
              <w:spacing w:before="0" w:after="0" w:line="240" w:lineRule="auto"/>
              <w:jc w:val="left"/>
            </w:pPr>
            <w:r>
              <w:rPr>
                <w:rFonts w:ascii="Times New Roman" w:hAnsi="Times New Roman" w:cs="Times New Roman" w:eastAsia="Times New Roman"/>
                <w:sz w:val="20"/>
                <w:szCs w:val="20"/>
              </w:rPr>
              <w:t xml:space="preserve">Export CSV, JSON and Markdown tables; re-run the whole study with one command</w:t>
            </w:r>
          </w:p>
        </w:tc>
        <w:tc>
          <w:tcPr>
            <w:tcW w:w="1037" w:type="dxa"/>
            <w:vAlign w:val="center"/>
          </w:tcPr>
          <w:p>
            <w:pPr>
              <w:spacing w:before="0" w:after="0" w:line="240" w:lineRule="auto"/>
              <w:jc w:val="center"/>
            </w:pPr>
            <w:r>
              <w:rPr>
                <w:rFonts w:ascii="Times New Roman" w:hAnsi="Times New Roman" w:cs="Times New Roman" w:eastAsia="Times New Roman"/>
                <w:sz w:val="20"/>
                <w:szCs w:val="20"/>
              </w:rPr>
              <w:t xml:space="preserve">M7</w:t>
            </w:r>
          </w:p>
        </w:tc>
      </w:tr>
    </w:tbl>
    <w:p>
      <w:pPr>
        <w:spacing w:before="0" w:after="120" w:line="240" w:lineRule="auto"/>
      </w:pPr>
    </w:p>
    <w:p>
      <w:pPr>
        <w:keepNext/>
        <w:spacing w:before="140" w:after="80" w:line="276" w:lineRule="auto"/>
        <w:outlineLvl w:val="2"/>
      </w:pPr>
      <w:bookmarkStart w:id="1019" w:name="_Toc_3_1_2"/>
      <w:r>
        <w:rPr>
          <w:rFonts w:ascii="Times New Roman" w:hAnsi="Times New Roman" w:cs="Times New Roman" w:eastAsia="Times New Roman"/>
          <w:b/>
          <w:bCs/>
          <w:i/>
          <w:iCs/>
          <w:sz w:val="24"/>
          <w:szCs w:val="24"/>
        </w:rPr>
        <w:t xml:space="preserve">3.1.2  Non-Functional</w:t>
      </w:r>
      <w:bookmarkEnd w:id="1019"/>
    </w:p>
    <w:p>
      <w:pPr>
        <w:keepNext/>
        <w:spacing w:before="160" w:after="80" w:line="240" w:lineRule="auto"/>
        <w:jc w:val="center"/>
      </w:pPr>
      <w:bookmarkStart w:id="1020" w:name="_Tab_3_2"/>
      <w:r>
        <w:rPr>
          <w:rFonts w:ascii="Times New Roman" w:hAnsi="Times New Roman" w:cs="Times New Roman" w:eastAsia="Times New Roman"/>
          <w:b/>
          <w:bCs/>
          <w:sz w:val="20"/>
          <w:szCs w:val="20"/>
        </w:rPr>
        <w:t xml:space="preserve">Table 3.2: </w:t>
      </w:r>
      <w:r>
        <w:rPr>
          <w:rFonts w:ascii="Times New Roman" w:hAnsi="Times New Roman" w:cs="Times New Roman" w:eastAsia="Times New Roman"/>
          <w:sz w:val="20"/>
          <w:szCs w:val="20"/>
        </w:rPr>
        <w:t xml:space="preserve">Non-functional requirements</w:t>
      </w:r>
      <w:bookmarkEnd w:id="102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07"/>
        <w:gridCol w:w="3889"/>
        <w:gridCol w:w="4278"/>
      </w:tblGrid>
      <w:tr>
        <w:trPr>
          <w:cantSplit/>
          <w:tblHeader/>
        </w:trPr>
        <w:tc>
          <w:tcPr>
            <w:tcW w:w="9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Requirement</w:t>
            </w:r>
          </w:p>
        </w:tc>
        <w:tc>
          <w:tcPr>
            <w:tcW w:w="42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How we meet or check it</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Reproducibility: the same input gives the same bytes</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Tracked result files were byte-identical after a re-run</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Privacy: personal identifiers are not published</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E-mail addresses and names are hashed on load; no VIT student data is used</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Resource limit: runs on an ordinary laptop</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Developed on an 8 GiB machine; the Ethereum log is analysed as a 300,000-event window</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NFR4</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Licensing: only openly licensed data</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All seven logs are CC BY 4.0; the licence is recorded per source</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Integrity and safety of data handling</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Size and MD5 checked against the Zenodo record; SHA-256 recorded for all files; archives with unsafe member paths rejected</w:t>
            </w:r>
          </w:p>
        </w:tc>
      </w:tr>
      <w:tr>
        <w:trPr>
          <w:cantSplit/>
        </w:trPr>
        <w:tc>
          <w:tcPr>
            <w:tcW w:w="907" w:type="dxa"/>
            <w:vAlign w:val="center"/>
          </w:tcPr>
          <w:p>
            <w:pPr>
              <w:spacing w:before="0" w:after="0" w:line="240" w:lineRule="auto"/>
              <w:jc w:val="left"/>
            </w:pPr>
            <w:r>
              <w:rPr>
                <w:rFonts w:ascii="Times New Roman" w:hAnsi="Times New Roman" w:cs="Times New Roman" w:eastAsia="Times New Roman"/>
                <w:sz w:val="20"/>
                <w:szCs w:val="20"/>
              </w:rPr>
              <w:t xml:space="preserve">NFR6</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Transparency of limits</w:t>
            </w:r>
          </w:p>
        </w:tc>
        <w:tc>
          <w:tcPr>
            <w:tcW w:w="4278" w:type="dxa"/>
            <w:vAlign w:val="center"/>
          </w:tcPr>
          <w:p>
            <w:pPr>
              <w:spacing w:before="0" w:after="0" w:line="240" w:lineRule="auto"/>
              <w:jc w:val="left"/>
            </w:pPr>
            <w:r>
              <w:rPr>
                <w:rFonts w:ascii="Times New Roman" w:hAnsi="Times New Roman" w:cs="Times New Roman" w:eastAsia="Times New Roman"/>
                <w:sz w:val="20"/>
                <w:szCs w:val="20"/>
              </w:rPr>
              <w:t xml:space="preserve">Every result table states what was and was not checked</w:t>
            </w:r>
          </w:p>
        </w:tc>
      </w:tr>
    </w:tbl>
    <w:p>
      <w:pPr>
        <w:spacing w:before="0" w:after="120" w:line="240" w:lineRule="auto"/>
      </w:pPr>
    </w:p>
    <w:p>
      <w:pPr>
        <w:keepNext/>
        <w:spacing w:before="200" w:after="100" w:line="276" w:lineRule="auto"/>
        <w:outlineLvl w:val="1"/>
      </w:pPr>
      <w:bookmarkStart w:id="1021" w:name="_Toc_3_2"/>
      <w:r>
        <w:rPr>
          <w:rFonts w:ascii="Times New Roman" w:hAnsi="Times New Roman" w:cs="Times New Roman" w:eastAsia="Times New Roman"/>
          <w:b/>
          <w:bCs/>
          <w:sz w:val="24"/>
          <w:szCs w:val="24"/>
        </w:rPr>
        <w:t xml:space="preserve">3.2  Feasibility Study</w:t>
      </w:r>
      <w:bookmarkEnd w:id="1021"/>
    </w:p>
    <w:p>
      <w:pPr>
        <w:keepNext/>
        <w:spacing w:before="140" w:after="80" w:line="276" w:lineRule="auto"/>
        <w:outlineLvl w:val="2"/>
      </w:pPr>
      <w:bookmarkStart w:id="1022" w:name="_Toc_3_2_1"/>
      <w:r>
        <w:rPr>
          <w:rFonts w:ascii="Times New Roman" w:hAnsi="Times New Roman" w:cs="Times New Roman" w:eastAsia="Times New Roman"/>
          <w:b/>
          <w:bCs/>
          <w:i/>
          <w:iCs/>
          <w:sz w:val="24"/>
          <w:szCs w:val="24"/>
        </w:rPr>
        <w:t xml:space="preserve">3.2.1  Technical Feasibility</w:t>
      </w:r>
      <w:bookmarkEnd w:id="1022"/>
    </w:p>
    <w:p>
      <w:pPr>
        <w:spacing w:before="0" w:after="120" w:line="276" w:lineRule="auto"/>
        <w:jc w:val="both"/>
      </w:pPr>
      <w:r>
        <w:rPr>
          <w:rFonts w:ascii="Times New Roman" w:hAnsi="Times New Roman" w:cs="Times New Roman" w:eastAsia="Times New Roman"/>
          <w:sz w:val="24"/>
          <w:szCs w:val="24"/>
        </w:rPr>
        <w:t xml:space="preserve">The pipeline is written in Python with open-source libraries and runs on a single laptop. The only memory constraint was the Ethereum log, whose 3.2 million events do not fit in 8 GiB of memory, so we analyse a contiguous window of 300,000 events and state this wherever that log appears. For Enron, the distortion analysis took about 9.5 seconds and the consequence analysis about 4. Run time was not a risk; correctness was, which is why Chapter 5 devotes most of its space to verification.</w:t>
      </w:r>
    </w:p>
    <w:p>
      <w:pPr>
        <w:keepNext/>
        <w:spacing w:before="140" w:after="80" w:line="276" w:lineRule="auto"/>
        <w:outlineLvl w:val="2"/>
      </w:pPr>
      <w:bookmarkStart w:id="1023" w:name="_Toc_3_2_2"/>
      <w:r>
        <w:rPr>
          <w:rFonts w:ascii="Times New Roman" w:hAnsi="Times New Roman" w:cs="Times New Roman" w:eastAsia="Times New Roman"/>
          <w:b/>
          <w:bCs/>
          <w:i/>
          <w:iCs/>
          <w:sz w:val="24"/>
          <w:szCs w:val="24"/>
        </w:rPr>
        <w:t xml:space="preserve">3.2.2  Economic Feasibility</w:t>
      </w:r>
      <w:bookmarkEnd w:id="1023"/>
    </w:p>
    <w:p>
      <w:pPr>
        <w:spacing w:before="0" w:after="120" w:line="276" w:lineRule="auto"/>
        <w:jc w:val="both"/>
      </w:pPr>
      <w:r>
        <w:rPr>
          <w:rFonts w:ascii="Times New Roman" w:hAnsi="Times New Roman" w:cs="Times New Roman" w:eastAsia="Times New Roman"/>
          <w:sz w:val="24"/>
          <w:szCs w:val="24"/>
        </w:rPr>
        <w:t xml:space="preserve">No data, software or cloud time was bought; Table 3.3 lists the items. The only cost that cannot be quantified is the team's own time.</w:t>
      </w:r>
    </w:p>
    <w:p>
      <w:pPr>
        <w:keepNext/>
        <w:spacing w:before="160" w:after="80" w:line="240" w:lineRule="auto"/>
        <w:jc w:val="center"/>
      </w:pPr>
      <w:bookmarkStart w:id="1024" w:name="_Tab_3_3"/>
      <w:r>
        <w:rPr>
          <w:rFonts w:ascii="Times New Roman" w:hAnsi="Times New Roman" w:cs="Times New Roman" w:eastAsia="Times New Roman"/>
          <w:b/>
          <w:bCs/>
          <w:sz w:val="20"/>
          <w:szCs w:val="20"/>
        </w:rPr>
        <w:t xml:space="preserve">Table 3.3: </w:t>
      </w:r>
      <w:r>
        <w:rPr>
          <w:rFonts w:ascii="Times New Roman" w:hAnsi="Times New Roman" w:cs="Times New Roman" w:eastAsia="Times New Roman"/>
          <w:sz w:val="20"/>
          <w:szCs w:val="20"/>
        </w:rPr>
        <w:t xml:space="preserve">Cost items</w:t>
      </w:r>
      <w:bookmarkEnd w:id="102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4407"/>
        <w:gridCol w:w="1815"/>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44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Source</w:t>
            </w:r>
          </w:p>
        </w:tc>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Incremental cost</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Datasets (seven logs)</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Zenodo and UCI repositories, CC BY 4.0</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Analysis software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Python and open-source libraries (see Section 3.3.2)</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Hardware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 laptop the team already owned</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Storage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About 1.3 GB of downloaded and extracted files and 132 MB of derived OCEL files</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Cloud or paid services</w:t>
            </w:r>
          </w:p>
        </w:tc>
        <w:tc>
          <w:tcPr>
            <w:tcW w:w="4407" w:type="dxa"/>
            <w:vAlign w:val="center"/>
          </w:tcPr>
          <w:p>
            <w:pPr>
              <w:spacing w:before="0" w:after="0" w:line="240" w:lineRule="auto"/>
              <w:jc w:val="left"/>
            </w:pPr>
            <w:r>
              <w:rPr>
                <w:rFonts w:ascii="Times New Roman" w:hAnsi="Times New Roman" w:cs="Times New Roman" w:eastAsia="Times New Roman"/>
                <w:sz w:val="20"/>
                <w:szCs w:val="20"/>
              </w:rPr>
              <w:t xml:space="preserve">None used</w:t>
            </w:r>
          </w:p>
        </w:tc>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Nil</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One licensing point needs attention. The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library is released under AGPL-3.0, and we use it as a reference implementation of flattening and for process discovery. The code is public on GitHub and is released under AGPL-3.0, which is compatible with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w:t>
      </w:r>
    </w:p>
    <w:p>
      <w:pPr>
        <w:keepNext/>
        <w:spacing w:before="140" w:after="80" w:line="276" w:lineRule="auto"/>
        <w:outlineLvl w:val="2"/>
      </w:pPr>
      <w:bookmarkStart w:id="1025" w:name="_Toc_3_2_3"/>
      <w:r>
        <w:rPr>
          <w:rFonts w:ascii="Times New Roman" w:hAnsi="Times New Roman" w:cs="Times New Roman" w:eastAsia="Times New Roman"/>
          <w:b/>
          <w:bCs/>
          <w:i/>
          <w:iCs/>
          <w:sz w:val="24"/>
          <w:szCs w:val="24"/>
        </w:rPr>
        <w:t xml:space="preserve">3.2.3  Social Feasibility</w:t>
      </w:r>
      <w:bookmarkEnd w:id="1025"/>
    </w:p>
    <w:p>
      <w:pPr>
        <w:spacing w:before="0" w:after="120" w:line="276" w:lineRule="auto"/>
        <w:jc w:val="both"/>
      </w:pPr>
      <w:r>
        <w:rPr>
          <w:rFonts w:ascii="Times New Roman" w:hAnsi="Times New Roman" w:cs="Times New Roman" w:eastAsia="Times New Roman"/>
          <w:sz w:val="24"/>
          <w:szCs w:val="24"/>
        </w:rPr>
        <w:t xml:space="preserve">Two logs contain data about people: Enron has real e-mail addresses, and CROP has developer names that its authors had already pseudonymised. We hash identifiers again when a log loads and never print raw values, and no VIT student, guide or portal record was used. This method lets anyone who analyses multi-entity workflows, including academic review, see in advance what a flat view will hide.</w:t>
      </w:r>
    </w:p>
    <w:p>
      <w:pPr>
        <w:keepNext/>
        <w:spacing w:before="200" w:after="100" w:line="276" w:lineRule="auto"/>
        <w:outlineLvl w:val="1"/>
      </w:pPr>
      <w:bookmarkStart w:id="1026" w:name="_Toc_3_3"/>
      <w:r>
        <w:rPr>
          <w:rFonts w:ascii="Times New Roman" w:hAnsi="Times New Roman" w:cs="Times New Roman" w:eastAsia="Times New Roman"/>
          <w:b/>
          <w:bCs/>
          <w:sz w:val="24"/>
          <w:szCs w:val="24"/>
        </w:rPr>
        <w:t xml:space="preserve">3.3  System Specification</w:t>
      </w:r>
      <w:bookmarkEnd w:id="1026"/>
    </w:p>
    <w:p>
      <w:pPr>
        <w:keepNext/>
        <w:spacing w:before="140" w:after="80" w:line="276" w:lineRule="auto"/>
        <w:outlineLvl w:val="2"/>
      </w:pPr>
      <w:bookmarkStart w:id="1027" w:name="_Toc_3_3_1"/>
      <w:r>
        <w:rPr>
          <w:rFonts w:ascii="Times New Roman" w:hAnsi="Times New Roman" w:cs="Times New Roman" w:eastAsia="Times New Roman"/>
          <w:b/>
          <w:bCs/>
          <w:i/>
          <w:iCs/>
          <w:sz w:val="24"/>
          <w:szCs w:val="24"/>
        </w:rPr>
        <w:t xml:space="preserve">3.3.1  Hardware Specification</w:t>
      </w:r>
      <w:bookmarkEnd w:id="1027"/>
    </w:p>
    <w:p>
      <w:pPr>
        <w:keepNext/>
        <w:spacing w:before="160" w:after="80" w:line="240" w:lineRule="auto"/>
        <w:jc w:val="center"/>
      </w:pPr>
      <w:bookmarkStart w:id="1028" w:name="_Tab_3_4"/>
      <w:r>
        <w:rPr>
          <w:rFonts w:ascii="Times New Roman" w:hAnsi="Times New Roman" w:cs="Times New Roman" w:eastAsia="Times New Roman"/>
          <w:b/>
          <w:bCs/>
          <w:sz w:val="20"/>
          <w:szCs w:val="20"/>
        </w:rPr>
        <w:t xml:space="preserve">Table 3.4: </w:t>
      </w:r>
      <w:r>
        <w:rPr>
          <w:rFonts w:ascii="Times New Roman" w:hAnsi="Times New Roman" w:cs="Times New Roman" w:eastAsia="Times New Roman"/>
          <w:sz w:val="20"/>
          <w:szCs w:val="20"/>
        </w:rPr>
        <w:t xml:space="preserve">Hardware used</w:t>
      </w:r>
      <w:bookmarkEnd w:id="102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94"/>
        <w:gridCol w:w="6980"/>
      </w:tblGrid>
      <w:tr>
        <w:trPr>
          <w:cantSplit/>
          <w:tblHeader/>
        </w:trPr>
        <w:tc>
          <w:tcPr>
            <w:tcW w:w="20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698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Specification</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Machine</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Apple silicon laptop (arm64)</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Memory</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8 GiB</w:t>
            </w:r>
          </w:p>
        </w:tc>
      </w:tr>
      <w:tr>
        <w:trPr>
          <w:cantSplit/>
        </w:trPr>
        <w:tc>
          <w:tcPr>
            <w:tcW w:w="2094" w:type="dxa"/>
            <w:vAlign w:val="center"/>
          </w:tcPr>
          <w:p>
            <w:pPr>
              <w:spacing w:before="0" w:after="0" w:line="240" w:lineRule="auto"/>
              <w:jc w:val="left"/>
            </w:pPr>
            <w:r>
              <w:rPr>
                <w:rFonts w:ascii="Times New Roman" w:hAnsi="Times New Roman" w:cs="Times New Roman" w:eastAsia="Times New Roman"/>
                <w:sz w:val="20"/>
                <w:szCs w:val="20"/>
              </w:rPr>
              <w:t xml:space="preserve">Storage used</w:t>
            </w:r>
          </w:p>
        </w:tc>
        <w:tc>
          <w:tcPr>
            <w:tcW w:w="6980" w:type="dxa"/>
            <w:vAlign w:val="center"/>
          </w:tcPr>
          <w:p>
            <w:pPr>
              <w:spacing w:before="0" w:after="0" w:line="240" w:lineRule="auto"/>
              <w:jc w:val="left"/>
            </w:pPr>
            <w:r>
              <w:rPr>
                <w:rFonts w:ascii="Times New Roman" w:hAnsi="Times New Roman" w:cs="Times New Roman" w:eastAsia="Times New Roman"/>
                <w:sz w:val="20"/>
                <w:szCs w:val="20"/>
              </w:rPr>
              <w:t xml:space="preserve">1.3 GB raw (downloaded and extracted), 132 MB derived OCEL files; the one-time download is about 350 MB</w:t>
            </w:r>
          </w:p>
        </w:tc>
      </w:tr>
    </w:tbl>
    <w:p>
      <w:pPr>
        <w:spacing w:before="0" w:after="120" w:line="240" w:lineRule="auto"/>
      </w:pPr>
    </w:p>
    <w:p>
      <w:pPr>
        <w:keepNext/>
        <w:spacing w:before="140" w:after="80" w:line="276" w:lineRule="auto"/>
        <w:outlineLvl w:val="2"/>
      </w:pPr>
      <w:bookmarkStart w:id="1029" w:name="_Toc_3_3_2"/>
      <w:r>
        <w:rPr>
          <w:rFonts w:ascii="Times New Roman" w:hAnsi="Times New Roman" w:cs="Times New Roman" w:eastAsia="Times New Roman"/>
          <w:b/>
          <w:bCs/>
          <w:i/>
          <w:iCs/>
          <w:sz w:val="24"/>
          <w:szCs w:val="24"/>
        </w:rPr>
        <w:t xml:space="preserve">3.3.2  Software Specification</w:t>
      </w:r>
      <w:bookmarkEnd w:id="1029"/>
    </w:p>
    <w:p>
      <w:pPr>
        <w:keepNext/>
        <w:spacing w:before="160" w:after="80" w:line="240" w:lineRule="auto"/>
        <w:jc w:val="center"/>
      </w:pPr>
      <w:bookmarkStart w:id="1030" w:name="_Tab_3_5"/>
      <w:r>
        <w:rPr>
          <w:rFonts w:ascii="Times New Roman" w:hAnsi="Times New Roman" w:cs="Times New Roman" w:eastAsia="Times New Roman"/>
          <w:b/>
          <w:bCs/>
          <w:sz w:val="20"/>
          <w:szCs w:val="20"/>
        </w:rPr>
        <w:t xml:space="preserve">Table 3.5: </w:t>
      </w:r>
      <w:r>
        <w:rPr>
          <w:rFonts w:ascii="Times New Roman" w:hAnsi="Times New Roman" w:cs="Times New Roman" w:eastAsia="Times New Roman"/>
          <w:sz w:val="20"/>
          <w:szCs w:val="20"/>
        </w:rPr>
        <w:t xml:space="preserve">Software used</w:t>
      </w:r>
      <w:bookmarkEnd w:id="103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2333"/>
        <w:gridCol w:w="3889"/>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Component</w:t>
            </w:r>
          </w:p>
        </w:tc>
        <w:tc>
          <w:tcPr>
            <w:tcW w:w="233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Version</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Use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Python</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3.14.5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All analysis code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pandas, NumPy, SciPy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3.1.0, 2.5.4, 1.18.1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Tables, vectorised metrics, Spearman correlation</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lxml</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6.1.3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XML OCEL loading</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pm4py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2.7.23.11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Reference flattening implementation (AGPL-3.0)</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DuckDB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2.0.0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Reads the parquet OCEL bundles (Enron, Ethereum) without extra libraries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Matplotlib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3.11.2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Figures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SQLite</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3.54.0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OCEL 2.0 storage and the independent SQL cross-check</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macOS, Git, Make</w:t>
            </w:r>
          </w:p>
        </w:tc>
        <w:tc>
          <w:tcPr>
            <w:tcW w:w="2333" w:type="dxa"/>
            <w:vAlign w:val="center"/>
          </w:tcPr>
          <w:p>
            <w:pPr>
              <w:spacing w:before="0" w:after="0" w:line="240" w:lineRule="auto"/>
              <w:jc w:val="left"/>
            </w:pPr>
            <w:r>
              <w:rPr>
                <w:rFonts w:ascii="Times New Roman" w:hAnsi="Times New Roman" w:cs="Times New Roman" w:eastAsia="Times New Roman"/>
                <w:sz w:val="20"/>
                <w:szCs w:val="20"/>
              </w:rPr>
              <w:t xml:space="preserve">-</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Operating system, version control, one-command re-run</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4</w:t>
      </w:r>
    </w:p>
    <w:p>
      <w:pPr>
        <w:keepNext/>
        <w:spacing w:before="0" w:after="240" w:line="276" w:lineRule="auto"/>
        <w:jc w:val="center"/>
        <w:outlineLvl w:val="0"/>
      </w:pPr>
      <w:bookmarkStart w:id="1031" w:name="_Toc_ch4"/>
      <w:r>
        <w:rPr>
          <w:rFonts w:ascii="Times New Roman" w:hAnsi="Times New Roman" w:cs="Times New Roman" w:eastAsia="Times New Roman"/>
          <w:b/>
          <w:bCs/>
          <w:sz w:val="28"/>
          <w:szCs w:val="28"/>
        </w:rPr>
        <w:t xml:space="preserve">DESIGN APPROACH AND DETAILS</w:t>
      </w:r>
      <w:bookmarkEnd w:id="1031"/>
    </w:p>
    <w:p>
      <w:pPr>
        <w:keepNext/>
        <w:spacing w:before="200" w:after="100" w:line="276" w:lineRule="auto"/>
        <w:outlineLvl w:val="1"/>
      </w:pPr>
      <w:bookmarkStart w:id="1032" w:name="_Toc_4_1"/>
      <w:r>
        <w:rPr>
          <w:rFonts w:ascii="Times New Roman" w:hAnsi="Times New Roman" w:cs="Times New Roman" w:eastAsia="Times New Roman"/>
          <w:b/>
          <w:bCs/>
          <w:sz w:val="24"/>
          <w:szCs w:val="24"/>
        </w:rPr>
        <w:t xml:space="preserve">4.1  System Architecture</w:t>
      </w:r>
      <w:bookmarkEnd w:id="1032"/>
    </w:p>
    <w:p>
      <w:pPr>
        <w:spacing w:before="0" w:after="120" w:line="276" w:lineRule="auto"/>
        <w:jc w:val="both"/>
      </w:pPr>
      <w:r>
        <w:rPr>
          <w:rFonts w:ascii="Times New Roman" w:hAnsi="Times New Roman" w:cs="Times New Roman" w:eastAsia="Times New Roman"/>
          <w:sz w:val="24"/>
          <w:szCs w:val="24"/>
        </w:rPr>
        <w:t xml:space="preserve">Figure 4.1 reads from left to right. Against this backdrop, the seven public logs enter on the left. The first stage downloads each file, checks it against the publisher's record where one exists, and records a SHA-256 checksum. A second stage extracts archives safely, and then the conversion stage turns CROP and OULAD into OCEL 2.0; every log ends up in the same four tables: events, objects, event-to-object links and object-to-object links.</w:t>
      </w:r>
    </w:p>
    <w:p>
      <w:pPr>
        <w:keepNext/>
        <w:spacing w:before="120" w:after="60" w:line="240" w:lineRule="auto"/>
        <w:jc w:val="center"/>
      </w:pPr>
      <w:r>
        <w:drawing>
          <wp:inline distT="0" distB="0" distL="0" distR="0">
            <wp:extent cx="5760720" cy="3339846"/>
            <wp:docPr id="502" name="Figure 4.1" descr="System architecture of the flattening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architecture.png"/>
                    <pic:cNvPicPr/>
                  </pic:nvPicPr>
                  <pic:blipFill>
                    <a:blip r:embed="rIdImg2"/>
                    <a:stretch>
                      <a:fillRect/>
                    </a:stretch>
                  </pic:blipFill>
                  <pic:spPr>
                    <a:xfrm>
                      <a:off x="0" y="0"/>
                      <a:ext cx="5760720" cy="3339846"/>
                    </a:xfrm>
                    <a:prstGeom prst="rect">
                      <a:avLst/>
                    </a:prstGeom>
                  </pic:spPr>
                </pic:pic>
              </a:graphicData>
            </a:graphic>
          </wp:inline>
        </w:drawing>
      </w:r>
    </w:p>
    <w:p>
      <w:pPr>
        <w:spacing w:before="0" w:after="200" w:line="240" w:lineRule="auto"/>
        <w:jc w:val="center"/>
      </w:pPr>
      <w:bookmarkStart w:id="1033" w:name="_Fig_4_1"/>
      <w:r>
        <w:rPr>
          <w:rFonts w:ascii="Times New Roman" w:hAnsi="Times New Roman" w:cs="Times New Roman" w:eastAsia="Times New Roman"/>
          <w:b/>
          <w:bCs/>
          <w:sz w:val="20"/>
          <w:szCs w:val="20"/>
        </w:rPr>
        <w:t xml:space="preserve">Figure 4.1: </w:t>
      </w:r>
      <w:r>
        <w:rPr>
          <w:rFonts w:ascii="Times New Roman" w:hAnsi="Times New Roman" w:cs="Times New Roman" w:eastAsia="Times New Roman"/>
          <w:sz w:val="20"/>
          <w:szCs w:val="20"/>
        </w:rPr>
        <w:t xml:space="preserve">System architecture of the flattening study</w:t>
      </w:r>
      <w:bookmarkEnd w:id="1033"/>
    </w:p>
    <w:p>
      <w:pPr>
        <w:spacing w:before="0" w:after="120" w:line="276" w:lineRule="auto"/>
        <w:jc w:val="both"/>
      </w:pPr>
      <w:r>
        <w:rPr>
          <w:rFonts w:ascii="Times New Roman" w:hAnsi="Times New Roman" w:cs="Times New Roman" w:eastAsia="Times New Roman"/>
          <w:sz w:val="24"/>
          <w:szCs w:val="24"/>
        </w:rPr>
        <w:t xml:space="preserve">Those tables are read by three engines. Deficiency, convergence, divergence and coupling for each case notion are computed by the distortion engine, and flat and object-centric outputs are compared by the consequence engine; the rule-based engine is the appendix-level part. A validation stage re-implements the key computations independently, and all results are written as CSV, JSON and Markdown files from which the report and the paper are produced. The dashed box at the top has not been built; it marks where an adapter for the portal's audit log would connect, should de-identified logs be approved.</w:t>
      </w:r>
    </w:p>
    <w:p>
      <w:pPr>
        <w:keepNext/>
        <w:spacing w:before="200" w:after="100" w:line="276" w:lineRule="auto"/>
        <w:outlineLvl w:val="1"/>
      </w:pPr>
      <w:bookmarkStart w:id="1034" w:name="_Toc_4_2"/>
      <w:r>
        <w:rPr>
          <w:rFonts w:ascii="Times New Roman" w:hAnsi="Times New Roman" w:cs="Times New Roman" w:eastAsia="Times New Roman"/>
          <w:b/>
          <w:bCs/>
          <w:sz w:val="24"/>
          <w:szCs w:val="24"/>
        </w:rPr>
        <w:t xml:space="preserve">4.2  Design</w:t>
      </w:r>
      <w:bookmarkEnd w:id="1034"/>
    </w:p>
    <w:p>
      <w:pPr>
        <w:keepNext/>
        <w:spacing w:before="140" w:after="80" w:line="276" w:lineRule="auto"/>
        <w:outlineLvl w:val="2"/>
      </w:pPr>
      <w:bookmarkStart w:id="1035" w:name="_Toc_4_2_1"/>
      <w:r>
        <w:rPr>
          <w:rFonts w:ascii="Times New Roman" w:hAnsi="Times New Roman" w:cs="Times New Roman" w:eastAsia="Times New Roman"/>
          <w:b/>
          <w:bCs/>
          <w:i/>
          <w:iCs/>
          <w:sz w:val="24"/>
          <w:szCs w:val="24"/>
        </w:rPr>
        <w:t xml:space="preserve">4.2.1  Data Flow Diagram</w:t>
      </w:r>
      <w:bookmarkEnd w:id="1035"/>
    </w:p>
    <w:p>
      <w:pPr>
        <w:spacing w:before="0" w:after="120" w:line="276" w:lineRule="auto"/>
        <w:jc w:val="both"/>
      </w:pPr>
      <w:r>
        <w:rPr>
          <w:rFonts w:ascii="Times New Roman" w:hAnsi="Times New Roman" w:cs="Times New Roman" w:eastAsia="Times New Roman"/>
          <w:sz w:val="24"/>
          <w:szCs w:val="24"/>
        </w:rPr>
        <w:t xml:space="preserve">Figure 4.2 is the level-0 diagram, with one process and two external entities. Dataset archives and licences are supplied by public data publishers. The researchers and the guide supply run commands and settings, and receive tables, figures and validation status.</w:t>
      </w:r>
    </w:p>
    <w:p>
      <w:pPr>
        <w:keepNext/>
        <w:spacing w:before="120" w:after="60" w:line="240" w:lineRule="auto"/>
        <w:jc w:val="center"/>
      </w:pPr>
      <w:r>
        <w:drawing>
          <wp:inline distT="0" distB="0" distL="0" distR="0">
            <wp:extent cx="5120640" cy="2353056"/>
            <wp:docPr id="503" name="Figure 4.2" descr="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dfd0.png"/>
                    <pic:cNvPicPr/>
                  </pic:nvPicPr>
                  <pic:blipFill>
                    <a:blip r:embed="rIdImg3"/>
                    <a:stretch>
                      <a:fillRect/>
                    </a:stretch>
                  </pic:blipFill>
                  <pic:spPr>
                    <a:xfrm>
                      <a:off x="0" y="0"/>
                      <a:ext cx="5120640" cy="2353056"/>
                    </a:xfrm>
                    <a:prstGeom prst="rect">
                      <a:avLst/>
                    </a:prstGeom>
                  </pic:spPr>
                </pic:pic>
              </a:graphicData>
            </a:graphic>
          </wp:inline>
        </w:drawing>
      </w:r>
    </w:p>
    <w:p>
      <w:pPr>
        <w:spacing w:before="0" w:after="200" w:line="240" w:lineRule="auto"/>
        <w:jc w:val="center"/>
      </w:pPr>
      <w:bookmarkStart w:id="1036" w:name="_Fig_4_2"/>
      <w:r>
        <w:rPr>
          <w:rFonts w:ascii="Times New Roman" w:hAnsi="Times New Roman" w:cs="Times New Roman" w:eastAsia="Times New Roman"/>
          <w:b/>
          <w:bCs/>
          <w:sz w:val="20"/>
          <w:szCs w:val="20"/>
        </w:rPr>
        <w:t xml:space="preserve">Figure 4.2: </w:t>
      </w:r>
      <w:r>
        <w:rPr>
          <w:rFonts w:ascii="Times New Roman" w:hAnsi="Times New Roman" w:cs="Times New Roman" w:eastAsia="Times New Roman"/>
          <w:sz w:val="20"/>
          <w:szCs w:val="20"/>
        </w:rPr>
        <w:t xml:space="preserve">Data flow diagram, level 0</w:t>
      </w:r>
      <w:bookmarkEnd w:id="1036"/>
    </w:p>
    <w:p>
      <w:pPr>
        <w:spacing w:before="0" w:after="120" w:line="276" w:lineRule="auto"/>
        <w:jc w:val="both"/>
      </w:pPr>
      <w:r>
        <w:rPr>
          <w:rFonts w:ascii="Times New Roman" w:hAnsi="Times New Roman" w:cs="Times New Roman" w:eastAsia="Times New Roman"/>
          <w:sz w:val="24"/>
          <w:szCs w:val="24"/>
        </w:rPr>
        <w:t xml:space="preserve">Figure 4.3 decomposes that process into six sub-processes. Process 1.0 acquires and verifies archives into store D1, and process 2.0 extracts and converts them into the OCEL logs of store D2. D2 is read by processes 3.0 (distortion metrics) and 4.0 (consequence analysis), which write the metric tables of store D3. Process 5.0 validates, and process 6.0 summarises the results for the researchers.</w:t>
      </w:r>
    </w:p>
    <w:p>
      <w:pPr>
        <w:keepNext/>
        <w:spacing w:before="120" w:after="60" w:line="240" w:lineRule="auto"/>
        <w:jc w:val="center"/>
      </w:pPr>
      <w:r>
        <w:drawing>
          <wp:inline distT="0" distB="0" distL="0" distR="0">
            <wp:extent cx="5669280" cy="3286832"/>
            <wp:docPr id="504" name="Figure 4.3" descr="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dfd1.png"/>
                    <pic:cNvPicPr/>
                  </pic:nvPicPr>
                  <pic:blipFill>
                    <a:blip r:embed="rIdImg4"/>
                    <a:stretch>
                      <a:fillRect/>
                    </a:stretch>
                  </pic:blipFill>
                  <pic:spPr>
                    <a:xfrm>
                      <a:off x="0" y="0"/>
                      <a:ext cx="5669280" cy="3286832"/>
                    </a:xfrm>
                    <a:prstGeom prst="rect">
                      <a:avLst/>
                    </a:prstGeom>
                  </pic:spPr>
                </pic:pic>
              </a:graphicData>
            </a:graphic>
          </wp:inline>
        </w:drawing>
      </w:r>
    </w:p>
    <w:p>
      <w:pPr>
        <w:spacing w:before="0" w:after="200" w:line="240" w:lineRule="auto"/>
        <w:jc w:val="center"/>
      </w:pPr>
      <w:bookmarkStart w:id="1037" w:name="_Fig_4_3"/>
      <w:r>
        <w:rPr>
          <w:rFonts w:ascii="Times New Roman" w:hAnsi="Times New Roman" w:cs="Times New Roman" w:eastAsia="Times New Roman"/>
          <w:b/>
          <w:bCs/>
          <w:sz w:val="20"/>
          <w:szCs w:val="20"/>
        </w:rPr>
        <w:t xml:space="preserve">Figure 4.3: </w:t>
      </w:r>
      <w:r>
        <w:rPr>
          <w:rFonts w:ascii="Times New Roman" w:hAnsi="Times New Roman" w:cs="Times New Roman" w:eastAsia="Times New Roman"/>
          <w:sz w:val="20"/>
          <w:szCs w:val="20"/>
        </w:rPr>
        <w:t xml:space="preserve">Data flow diagram, level 1</w:t>
      </w:r>
      <w:bookmarkEnd w:id="1037"/>
    </w:p>
    <w:p>
      <w:pPr>
        <w:keepNext/>
        <w:spacing w:before="140" w:after="80" w:line="276" w:lineRule="auto"/>
        <w:outlineLvl w:val="2"/>
      </w:pPr>
      <w:bookmarkStart w:id="1038" w:name="_Toc_4_2_2"/>
      <w:r>
        <w:rPr>
          <w:rFonts w:ascii="Times New Roman" w:hAnsi="Times New Roman" w:cs="Times New Roman" w:eastAsia="Times New Roman"/>
          <w:b/>
          <w:bCs/>
          <w:i/>
          <w:iCs/>
          <w:sz w:val="24"/>
          <w:szCs w:val="24"/>
        </w:rPr>
        <w:t xml:space="preserve">4.2.2  Use Case Diagram</w:t>
      </w:r>
      <w:bookmarkEnd w:id="1038"/>
    </w:p>
    <w:p>
      <w:pPr>
        <w:spacing w:before="0" w:after="120" w:line="276" w:lineRule="auto"/>
        <w:jc w:val="both"/>
      </w:pPr>
      <w:r>
        <w:rPr>
          <w:rFonts w:ascii="Times New Roman" w:hAnsi="Times New Roman" w:cs="Times New Roman" w:eastAsia="Times New Roman"/>
          <w:sz w:val="24"/>
          <w:szCs w:val="24"/>
        </w:rPr>
        <w:t xml:space="preserve">Figure 4.4 has two actors. The researcher (the team) downloads and verifies datasets, converts a source to OCEL 2.0, computes distortion metrics, runs the consequence analysis, validates against independent code and exports tables. The results are reviewed and approved by the guide or panel.</w:t>
      </w:r>
    </w:p>
    <w:p>
      <w:pPr>
        <w:keepNext/>
        <w:spacing w:before="120" w:after="60" w:line="240" w:lineRule="auto"/>
        <w:jc w:val="center"/>
      </w:pPr>
      <w:r>
        <w:drawing>
          <wp:inline distT="0" distB="0" distL="0" distR="0">
            <wp:extent cx="5120640" cy="3072384"/>
            <wp:docPr id="505" name="Figure 4.4"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usecase.png"/>
                    <pic:cNvPicPr/>
                  </pic:nvPicPr>
                  <pic:blipFill>
                    <a:blip r:embed="rIdImg5"/>
                    <a:stretch>
                      <a:fillRect/>
                    </a:stretch>
                  </pic:blipFill>
                  <pic:spPr>
                    <a:xfrm>
                      <a:off x="0" y="0"/>
                      <a:ext cx="5120640" cy="3072384"/>
                    </a:xfrm>
                    <a:prstGeom prst="rect">
                      <a:avLst/>
                    </a:prstGeom>
                  </pic:spPr>
                </pic:pic>
              </a:graphicData>
            </a:graphic>
          </wp:inline>
        </w:drawing>
      </w:r>
    </w:p>
    <w:p>
      <w:pPr>
        <w:spacing w:before="0" w:after="200" w:line="240" w:lineRule="auto"/>
        <w:jc w:val="center"/>
      </w:pPr>
      <w:bookmarkStart w:id="1039" w:name="_Fig_4_4"/>
      <w:r>
        <w:rPr>
          <w:rFonts w:ascii="Times New Roman" w:hAnsi="Times New Roman" w:cs="Times New Roman" w:eastAsia="Times New Roman"/>
          <w:b/>
          <w:bCs/>
          <w:sz w:val="20"/>
          <w:szCs w:val="20"/>
        </w:rPr>
        <w:t xml:space="preserve">Figure 4.4: </w:t>
      </w:r>
      <w:r>
        <w:rPr>
          <w:rFonts w:ascii="Times New Roman" w:hAnsi="Times New Roman" w:cs="Times New Roman" w:eastAsia="Times New Roman"/>
          <w:sz w:val="20"/>
          <w:szCs w:val="20"/>
        </w:rPr>
        <w:t xml:space="preserve">Use case diagram</w:t>
      </w:r>
      <w:bookmarkEnd w:id="1039"/>
    </w:p>
    <w:p>
      <w:pPr>
        <w:keepNext/>
        <w:spacing w:before="140" w:after="80" w:line="276" w:lineRule="auto"/>
        <w:outlineLvl w:val="2"/>
      </w:pPr>
      <w:bookmarkStart w:id="1040" w:name="_Toc_4_2_3"/>
      <w:r>
        <w:rPr>
          <w:rFonts w:ascii="Times New Roman" w:hAnsi="Times New Roman" w:cs="Times New Roman" w:eastAsia="Times New Roman"/>
          <w:b/>
          <w:bCs/>
          <w:i/>
          <w:iCs/>
          <w:sz w:val="24"/>
          <w:szCs w:val="24"/>
        </w:rPr>
        <w:t xml:space="preserve">4.2.3  Class Diagram</w:t>
      </w:r>
      <w:bookmarkEnd w:id="1040"/>
    </w:p>
    <w:p>
      <w:pPr>
        <w:spacing w:before="0" w:after="120" w:line="276" w:lineRule="auto"/>
        <w:jc w:val="both"/>
      </w:pPr>
      <w:r>
        <w:rPr>
          <w:rFonts w:ascii="Times New Roman" w:hAnsi="Times New Roman" w:cs="Times New Roman" w:eastAsia="Times New Roman"/>
          <w:sz w:val="24"/>
          <w:szCs w:val="24"/>
        </w:rPr>
        <w:t xml:space="preserve">The main data structures are shown in Figure 4.5.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holds the four tables of a loaded log, and </w:t>
      </w:r>
      <w:r>
        <w:rPr>
          <w:rFonts w:ascii="Courier New" w:hAnsi="Courier New" w:cs="Courier New" w:eastAsia="Courier New"/>
          <w:sz w:val="22"/>
          <w:szCs w:val="22"/>
        </w:rPr>
        <w:t xml:space="preserve">Prepared</w:t>
      </w:r>
      <w:r>
        <w:rPr>
          <w:rFonts w:ascii="Times New Roman" w:hAnsi="Times New Roman" w:cs="Times New Roman" w:eastAsia="Times New Roman"/>
          <w:sz w:val="24"/>
          <w:szCs w:val="24"/>
        </w:rPr>
        <w:t xml:space="preserve"> wraps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with integer-coded arrays, which makes the rankings and directly-follows counts fast to compute. </w:t>
      </w:r>
      <w:r>
        <w:rPr>
          <w:rFonts w:ascii="Courier New" w:hAnsi="Courier New" w:cs="Courier New" w:eastAsia="Courier New"/>
          <w:sz w:val="22"/>
          <w:szCs w:val="22"/>
        </w:rPr>
        <w:t xml:space="preserve">View</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Predicate</w:t>
      </w:r>
      <w:r>
        <w:rPr>
          <w:rFonts w:ascii="Times New Roman" w:hAnsi="Times New Roman" w:cs="Times New Roman" w:eastAsia="Times New Roman"/>
          <w:sz w:val="24"/>
          <w:szCs w:val="24"/>
        </w:rPr>
        <w:t xml:space="preserve"> belong to the rule-based engine, where a predicate is evaluated on a view of the log (native, flat or denormalised flat). Note that in the code the loader and the registry are modules of functions, not classes; they are drawn as classes to make their roles clear.</w:t>
      </w:r>
    </w:p>
    <w:p>
      <w:pPr>
        <w:keepNext/>
        <w:spacing w:before="120" w:after="60" w:line="240" w:lineRule="auto"/>
        <w:jc w:val="center"/>
      </w:pPr>
      <w:r>
        <w:drawing>
          <wp:inline distT="0" distB="0" distL="0" distR="0">
            <wp:extent cx="5486400" cy="3291840"/>
            <wp:docPr id="506" name="Figure 4.5" descr="Class diagram of the main 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class.png"/>
                    <pic:cNvPicPr/>
                  </pic:nvPicPr>
                  <pic:blipFill>
                    <a:blip r:embed="rIdImg6"/>
                    <a:stretch>
                      <a:fillRect/>
                    </a:stretch>
                  </pic:blipFill>
                  <pic:spPr>
                    <a:xfrm>
                      <a:off x="0" y="0"/>
                      <a:ext cx="5486400" cy="3291840"/>
                    </a:xfrm>
                    <a:prstGeom prst="rect">
                      <a:avLst/>
                    </a:prstGeom>
                  </pic:spPr>
                </pic:pic>
              </a:graphicData>
            </a:graphic>
          </wp:inline>
        </w:drawing>
      </w:r>
    </w:p>
    <w:p>
      <w:pPr>
        <w:spacing w:before="0" w:after="200" w:line="240" w:lineRule="auto"/>
        <w:jc w:val="center"/>
      </w:pPr>
      <w:bookmarkStart w:id="1041" w:name="_Fig_4_5"/>
      <w:r>
        <w:rPr>
          <w:rFonts w:ascii="Times New Roman" w:hAnsi="Times New Roman" w:cs="Times New Roman" w:eastAsia="Times New Roman"/>
          <w:b/>
          <w:bCs/>
          <w:sz w:val="20"/>
          <w:szCs w:val="20"/>
        </w:rPr>
        <w:t xml:space="preserve">Figure 4.5: </w:t>
      </w:r>
      <w:r>
        <w:rPr>
          <w:rFonts w:ascii="Times New Roman" w:hAnsi="Times New Roman" w:cs="Times New Roman" w:eastAsia="Times New Roman"/>
          <w:sz w:val="20"/>
          <w:szCs w:val="20"/>
        </w:rPr>
        <w:t xml:space="preserve">Class diagram of the main structures</w:t>
      </w:r>
      <w:bookmarkEnd w:id="1041"/>
    </w:p>
    <w:p>
      <w:pPr>
        <w:keepNext/>
        <w:spacing w:before="140" w:after="80" w:line="276" w:lineRule="auto"/>
        <w:outlineLvl w:val="2"/>
      </w:pPr>
      <w:bookmarkStart w:id="1042" w:name="_Toc_4_2_4"/>
      <w:r>
        <w:rPr>
          <w:rFonts w:ascii="Times New Roman" w:hAnsi="Times New Roman" w:cs="Times New Roman" w:eastAsia="Times New Roman"/>
          <w:b/>
          <w:bCs/>
          <w:i/>
          <w:iCs/>
          <w:sz w:val="24"/>
          <w:szCs w:val="24"/>
        </w:rPr>
        <w:t xml:space="preserve">4.2.4  Sequence Diagram</w:t>
      </w:r>
      <w:bookmarkEnd w:id="1042"/>
    </w:p>
    <w:p>
      <w:pPr>
        <w:spacing w:before="0" w:after="120" w:line="276" w:lineRule="auto"/>
        <w:jc w:val="both"/>
      </w:pPr>
      <w:r>
        <w:rPr>
          <w:rFonts w:ascii="Times New Roman" w:hAnsi="Times New Roman" w:cs="Times New Roman" w:eastAsia="Times New Roman"/>
          <w:sz w:val="24"/>
          <w:szCs w:val="24"/>
        </w:rPr>
        <w:t xml:space="preserve">One full run is followed in Figure 4.6. The researcher starts the download, which verifies and records each file, and conversion writes OCEL 2.0 SQLite. The distortion engine asks the loader for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and writes its JSON results, and the consequence engine does the same. The self-check recomputes the directly-follows pairs and the entity ranking in plain Python, and the summaries come last.</w:t>
      </w:r>
    </w:p>
    <w:p>
      <w:pPr>
        <w:keepNext/>
        <w:spacing w:before="120" w:after="60" w:line="240" w:lineRule="auto"/>
        <w:jc w:val="center"/>
      </w:pPr>
      <w:r>
        <w:drawing>
          <wp:inline distT="0" distB="0" distL="0" distR="0">
            <wp:extent cx="5669280" cy="3627664"/>
            <wp:docPr id="507" name="Figure 4.6" descr="Sequence diagram of one end-to-end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sequence.png"/>
                    <pic:cNvPicPr/>
                  </pic:nvPicPr>
                  <pic:blipFill>
                    <a:blip r:embed="rIdImg7"/>
                    <a:stretch>
                      <a:fillRect/>
                    </a:stretch>
                  </pic:blipFill>
                  <pic:spPr>
                    <a:xfrm>
                      <a:off x="0" y="0"/>
                      <a:ext cx="5669280" cy="3627664"/>
                    </a:xfrm>
                    <a:prstGeom prst="rect">
                      <a:avLst/>
                    </a:prstGeom>
                  </pic:spPr>
                </pic:pic>
              </a:graphicData>
            </a:graphic>
          </wp:inline>
        </w:drawing>
      </w:r>
    </w:p>
    <w:p>
      <w:pPr>
        <w:spacing w:before="0" w:after="200" w:line="240" w:lineRule="auto"/>
        <w:jc w:val="center"/>
      </w:pPr>
      <w:bookmarkStart w:id="1043" w:name="_Fig_4_6"/>
      <w:r>
        <w:rPr>
          <w:rFonts w:ascii="Times New Roman" w:hAnsi="Times New Roman" w:cs="Times New Roman" w:eastAsia="Times New Roman"/>
          <w:b/>
          <w:bCs/>
          <w:sz w:val="20"/>
          <w:szCs w:val="20"/>
        </w:rPr>
        <w:t xml:space="preserve">Figure 4.6: </w:t>
      </w:r>
      <w:r>
        <w:rPr>
          <w:rFonts w:ascii="Times New Roman" w:hAnsi="Times New Roman" w:cs="Times New Roman" w:eastAsia="Times New Roman"/>
          <w:sz w:val="20"/>
          <w:szCs w:val="20"/>
        </w:rPr>
        <w:t xml:space="preserve">Sequence diagram of one end-to-end run</w:t>
      </w:r>
      <w:bookmarkEnd w:id="1043"/>
    </w:p>
    <w:p>
      <w:pPr>
        <w:keepNext/>
        <w:spacing w:before="200" w:after="100" w:line="276" w:lineRule="auto"/>
        <w:outlineLvl w:val="1"/>
      </w:pPr>
      <w:bookmarkStart w:id="1044" w:name="_Toc_4_3"/>
      <w:r>
        <w:rPr>
          <w:rFonts w:ascii="Times New Roman" w:hAnsi="Times New Roman" w:cs="Times New Roman" w:eastAsia="Times New Roman"/>
          <w:b/>
          <w:bCs/>
          <w:sz w:val="24"/>
          <w:szCs w:val="24"/>
        </w:rPr>
        <w:t xml:space="preserve">4.3  OCEL 2.0 Model of the Capstone Lifecycle (Design Only)</w:t>
      </w:r>
      <w:bookmarkEnd w:id="1044"/>
    </w:p>
    <w:p>
      <w:pPr>
        <w:spacing w:before="0" w:after="120" w:line="276" w:lineRule="auto"/>
        <w:jc w:val="both"/>
      </w:pPr>
      <w:r>
        <w:rPr>
          <w:rFonts w:ascii="Times New Roman" w:hAnsi="Times New Roman" w:cs="Times New Roman" w:eastAsia="Times New Roman"/>
          <w:sz w:val="24"/>
          <w:szCs w:val="24"/>
        </w:rPr>
        <w:t xml:space="preserve">This section outlines the model we designed for the portal; it is a design, not a result. We derived it from the portal's documentation (the audit-trail, submission-system and scoring-system documents in the repository), and because no portal data is available, it has not been populated with portal data.</w:t>
      </w:r>
    </w:p>
    <w:p>
      <w:pPr>
        <w:keepNext/>
        <w:spacing w:before="160" w:after="80" w:line="240" w:lineRule="auto"/>
        <w:jc w:val="center"/>
      </w:pPr>
      <w:bookmarkStart w:id="1045" w:name="_Tab_4_1"/>
      <w:r>
        <w:rPr>
          <w:rFonts w:ascii="Times New Roman" w:hAnsi="Times New Roman" w:cs="Times New Roman" w:eastAsia="Times New Roman"/>
          <w:b/>
          <w:bCs/>
          <w:sz w:val="20"/>
          <w:szCs w:val="20"/>
        </w:rPr>
        <w:t xml:space="preserve">Table 4.1: </w:t>
      </w:r>
      <w:r>
        <w:rPr>
          <w:rFonts w:ascii="Times New Roman" w:hAnsi="Times New Roman" w:cs="Times New Roman" w:eastAsia="Times New Roman"/>
          <w:sz w:val="20"/>
          <w:szCs w:val="20"/>
        </w:rPr>
        <w:t xml:space="preserve">Object types of the capstone model</w:t>
      </w:r>
      <w:bookmarkEnd w:id="104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4148"/>
        <w:gridCol w:w="3111"/>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Object type</w:t>
            </w:r>
          </w:p>
        </w:tc>
        <w:tc>
          <w:tcPr>
            <w:tcW w:w="414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Meaning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Example relations (qualifiers)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Student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A team member; the leader may submit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member-of (team)</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Team</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Group executing 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executes (project)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Project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capstone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has-report, guides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Faculty (guide)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Guide who approves ideas, opens reviews and decides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guides (project), reviews (stage)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report for a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has-version</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 version</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One compiled version; incremented on each rejection</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has-score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Review stage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R1, R2 or R3</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at-stage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Score</w:t>
            </w:r>
          </w:p>
        </w:tc>
        <w:tc>
          <w:tcPr>
            <w:tcW w:w="4148" w:type="dxa"/>
            <w:vAlign w:val="center"/>
          </w:tcPr>
          <w:p>
            <w:pPr>
              <w:spacing w:before="0" w:after="0" w:line="240" w:lineRule="auto"/>
              <w:jc w:val="left"/>
            </w:pPr>
            <w:r>
              <w:rPr>
                <w:rFonts w:ascii="Times New Roman" w:hAnsi="Times New Roman" w:cs="Times New Roman" w:eastAsia="Times New Roman"/>
                <w:sz w:val="20"/>
                <w:szCs w:val="20"/>
              </w:rPr>
              <w:t xml:space="preserve">Similarity and AI percentages; written once, then locked</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has-score (from version)</w:t>
            </w:r>
          </w:p>
        </w:tc>
      </w:tr>
    </w:tbl>
    <w:p>
      <w:pPr>
        <w:spacing w:before="0" w:after="120" w:line="240" w:lineRule="auto"/>
      </w:pPr>
    </w:p>
    <w:p>
      <w:pPr>
        <w:keepNext/>
        <w:spacing w:before="120" w:after="60" w:line="240" w:lineRule="auto"/>
        <w:jc w:val="center"/>
      </w:pPr>
      <w:r>
        <w:drawing>
          <wp:inline distT="0" distB="0" distL="0" distR="0">
            <wp:extent cx="5486400" cy="3069771"/>
            <wp:docPr id="508" name="Figure 4.7" descr="Object types, relations and events of the capston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capstone_schema.png"/>
                    <pic:cNvPicPr/>
                  </pic:nvPicPr>
                  <pic:blipFill>
                    <a:blip r:embed="rIdImg8"/>
                    <a:stretch>
                      <a:fillRect/>
                    </a:stretch>
                  </pic:blipFill>
                  <pic:spPr>
                    <a:xfrm>
                      <a:off x="0" y="0"/>
                      <a:ext cx="5486400" cy="3069771"/>
                    </a:xfrm>
                    <a:prstGeom prst="rect">
                      <a:avLst/>
                    </a:prstGeom>
                  </pic:spPr>
                </pic:pic>
              </a:graphicData>
            </a:graphic>
          </wp:inline>
        </w:drawing>
      </w:r>
    </w:p>
    <w:p>
      <w:pPr>
        <w:spacing w:before="0" w:after="200" w:line="240" w:lineRule="auto"/>
        <w:jc w:val="center"/>
      </w:pPr>
      <w:bookmarkStart w:id="1046" w:name="_Fig_4_7"/>
      <w:r>
        <w:rPr>
          <w:rFonts w:ascii="Times New Roman" w:hAnsi="Times New Roman" w:cs="Times New Roman" w:eastAsia="Times New Roman"/>
          <w:b/>
          <w:bCs/>
          <w:sz w:val="20"/>
          <w:szCs w:val="20"/>
        </w:rPr>
        <w:t xml:space="preserve">Figure 4.7: </w:t>
      </w:r>
      <w:r>
        <w:rPr>
          <w:rFonts w:ascii="Times New Roman" w:hAnsi="Times New Roman" w:cs="Times New Roman" w:eastAsia="Times New Roman"/>
          <w:sz w:val="20"/>
          <w:szCs w:val="20"/>
        </w:rPr>
        <w:t xml:space="preserve">Object types, relations and events of the capstone lifecycle</w:t>
      </w:r>
      <w:bookmarkEnd w:id="1046"/>
    </w:p>
    <w:p>
      <w:pPr>
        <w:spacing w:before="0" w:after="120" w:line="276" w:lineRule="auto"/>
        <w:jc w:val="left"/>
      </w:pPr>
      <w:r>
        <w:rPr>
          <w:rFonts w:ascii="Times New Roman" w:hAnsi="Times New Roman" w:cs="Times New Roman" w:eastAsia="Times New Roman"/>
          <w:sz w:val="24"/>
          <w:szCs w:val="24"/>
        </w:rPr>
        <w:t xml:space="preserve">The portal writes an audit-log row for every state transition, and the documented action vocabulary gives eight event types: </w:t>
      </w:r>
      <w:r>
        <w:rPr>
          <w:rFonts w:ascii="Courier New" w:hAnsi="Courier New" w:cs="Courier New" w:eastAsia="Courier New"/>
          <w:sz w:val="22"/>
          <w:szCs w:val="22"/>
        </w:rPr>
        <w:t xml:space="preserve">PROJECT_CREATED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COMPILATION_STARTED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COMPILATION_SUCCESS</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COMPILATION_FAILED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STUDENT_SUBMITTED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FACULTY_STARTED_VERIFICATION</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FACULTY_ACCEPTED</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FACULTY_REJECTED</w:t>
      </w:r>
      <w:r>
        <w:rPr>
          <w:rFonts w:ascii="Times New Roman" w:hAnsi="Times New Roman" w:cs="Times New Roman" w:eastAsia="Times New Roman"/>
          <w:sz w:val="24"/>
          <w:szCs w:val="24"/>
        </w:rPr>
        <w:t xml:space="preserve">. Each row carries a project identifier, the acting student or faculty member and a timestamp. In the model, an event relates to its project, to the acting student or faculty member, and, through joins on the project, to the team, the report version and the stage.</w:t>
      </w:r>
    </w:p>
    <w:p>
      <w:pPr>
        <w:spacing w:before="0" w:after="120" w:line="276" w:lineRule="auto"/>
        <w:jc w:val="both"/>
      </w:pPr>
      <w:r>
        <w:rPr>
          <w:rFonts w:ascii="Times New Roman" w:hAnsi="Times New Roman" w:cs="Times New Roman" w:eastAsia="Times New Roman"/>
          <w:sz w:val="24"/>
          <w:szCs w:val="24"/>
        </w:rPr>
        <w:t xml:space="preserve">The model is shaped by a few documented facts. A score is written once and then locked. A rejection uses up one of three attempts and increments the report version, while compilation failures are free retries and do not use an attempt. The documentation lists the automatic move from stage R1 to R2 to R3 as a known gap, so the stage relation is part of the design, yet the current system does not fully populate 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5</w:t>
      </w:r>
    </w:p>
    <w:p>
      <w:pPr>
        <w:keepNext/>
        <w:spacing w:before="0" w:after="240" w:line="276" w:lineRule="auto"/>
        <w:jc w:val="center"/>
        <w:outlineLvl w:val="0"/>
      </w:pPr>
      <w:bookmarkStart w:id="1047" w:name="_Toc_ch5"/>
      <w:r>
        <w:rPr>
          <w:rFonts w:ascii="Times New Roman" w:hAnsi="Times New Roman" w:cs="Times New Roman" w:eastAsia="Times New Roman"/>
          <w:b/>
          <w:bCs/>
          <w:sz w:val="28"/>
          <w:szCs w:val="28"/>
        </w:rPr>
        <w:t xml:space="preserve">METHODOLOGY AND TESTING</w:t>
      </w:r>
      <w:bookmarkEnd w:id="1047"/>
    </w:p>
    <w:p>
      <w:pPr>
        <w:keepNext/>
        <w:spacing w:before="200" w:after="100" w:line="276" w:lineRule="auto"/>
        <w:outlineLvl w:val="1"/>
      </w:pPr>
      <w:bookmarkStart w:id="1048" w:name="_Toc_5_1"/>
      <w:r>
        <w:rPr>
          <w:rFonts w:ascii="Times New Roman" w:hAnsi="Times New Roman" w:cs="Times New Roman" w:eastAsia="Times New Roman"/>
          <w:b/>
          <w:bCs/>
          <w:sz w:val="24"/>
          <w:szCs w:val="24"/>
        </w:rPr>
        <w:t xml:space="preserve">5.1  Module Description</w:t>
      </w:r>
      <w:bookmarkEnd w:id="1048"/>
    </w:p>
    <w:p>
      <w:pPr>
        <w:spacing w:before="0" w:after="120" w:line="276" w:lineRule="auto"/>
        <w:jc w:val="both"/>
      </w:pPr>
      <w:r>
        <w:rPr>
          <w:rFonts w:ascii="Times New Roman" w:hAnsi="Times New Roman" w:cs="Times New Roman" w:eastAsia="Times New Roman"/>
          <w:sz w:val="24"/>
          <w:szCs w:val="24"/>
        </w:rPr>
        <w:t xml:space="preserve">There are seven modules, M1 to M7. Each one is a small Python script in the </w:t>
      </w:r>
      <w:r>
        <w:rPr>
          <w:rFonts w:ascii="Courier New" w:hAnsi="Courier New" w:cs="Courier New" w:eastAsia="Courier New"/>
          <w:sz w:val="22"/>
          <w:szCs w:val="22"/>
        </w:rPr>
        <w:t xml:space="preserve">realdata/src</w:t>
      </w:r>
      <w:r>
        <w:rPr>
          <w:rFonts w:ascii="Times New Roman" w:hAnsi="Times New Roman" w:cs="Times New Roman" w:eastAsia="Times New Roman"/>
          <w:sz w:val="24"/>
          <w:szCs w:val="24"/>
        </w:rPr>
        <w:t xml:space="preserve"> directory, each reads what the one before it wrote, and Figure 4.1 shows how they connect.</w:t>
      </w:r>
    </w:p>
    <w:p>
      <w:pPr>
        <w:keepNext/>
        <w:spacing w:before="140" w:after="80" w:line="276" w:lineRule="auto"/>
        <w:outlineLvl w:val="2"/>
      </w:pPr>
      <w:bookmarkStart w:id="1049" w:name="_Toc_5_1_1"/>
      <w:r>
        <w:rPr>
          <w:rFonts w:ascii="Times New Roman" w:hAnsi="Times New Roman" w:cs="Times New Roman" w:eastAsia="Times New Roman"/>
          <w:b/>
          <w:bCs/>
          <w:i/>
          <w:iCs/>
          <w:sz w:val="24"/>
          <w:szCs w:val="24"/>
        </w:rPr>
        <w:t xml:space="preserve">5.1.1  M1: Acquire and Verify</w:t>
      </w:r>
      <w:bookmarkEnd w:id="1049"/>
    </w:p>
    <w:p>
      <w:pPr>
        <w:spacing w:before="0" w:after="120" w:line="276" w:lineRule="auto"/>
        <w:jc w:val="both"/>
      </w:pPr>
      <w:r>
        <w:rPr>
          <w:rFonts w:ascii="Courier New" w:hAnsi="Courier New" w:cs="Courier New" w:eastAsia="Courier New"/>
          <w:sz w:val="22"/>
          <w:szCs w:val="22"/>
        </w:rPr>
        <w:t xml:space="preserve">fetch_sources.py</w:t>
      </w:r>
      <w:r>
        <w:rPr>
          <w:rFonts w:ascii="Times New Roman" w:hAnsi="Times New Roman" w:cs="Times New Roman" w:eastAsia="Times New Roman"/>
          <w:sz w:val="24"/>
          <w:szCs w:val="24"/>
        </w:rPr>
        <w:t xml:space="preserve"> reads a manifest (</w:t>
      </w:r>
      <w:r>
        <w:rPr>
          <w:rFonts w:ascii="Courier New" w:hAnsi="Courier New" w:cs="Courier New" w:eastAsia="Courier New"/>
          <w:sz w:val="22"/>
          <w:szCs w:val="22"/>
        </w:rPr>
        <w:t xml:space="preserve">sources.json</w:t>
      </w:r>
      <w:r>
        <w:rPr>
          <w:rFonts w:ascii="Times New Roman" w:hAnsi="Times New Roman" w:cs="Times New Roman" w:eastAsia="Times New Roman"/>
          <w:sz w:val="24"/>
          <w:szCs w:val="24"/>
        </w:rPr>
        <w:t xml:space="preserve">) that lists each source with its record number, licence and expected files. For a Zenodo record it asks Zenodo for the file list, downloads each file, and compares the size and MD5 checksum with the record; a mismatch deletes the file and stops the run. OULAD comes from the UCI mirror and has no published checksum, so there we cap the download size and record the SHA-256. Every file gets a SHA-256 in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next to it. If a download stalls, the script resumes from the partial file with an HTTP Range request; this was needed once during the study.</w:t>
      </w:r>
    </w:p>
    <w:p>
      <w:pPr>
        <w:spacing w:before="0" w:after="120" w:line="276" w:lineRule="auto"/>
        <w:jc w:val="both"/>
      </w:pPr>
      <w:r>
        <w:rPr>
          <w:rFonts w:ascii="Courier New" w:hAnsi="Courier New" w:cs="Courier New" w:eastAsia="Courier New"/>
          <w:sz w:val="22"/>
          <w:szCs w:val="22"/>
        </w:rPr>
        <w:t xml:space="preserve">extract_archives.py</w:t>
      </w:r>
      <w:r>
        <w:rPr>
          <w:rFonts w:ascii="Times New Roman" w:hAnsi="Times New Roman" w:cs="Times New Roman" w:eastAsia="Times New Roman"/>
          <w:sz w:val="24"/>
          <w:szCs w:val="24"/>
        </w:rPr>
        <w:t xml:space="preserve"> unpacks each archive into a new, empty directory next to it, and it refuses any archive with an absolute path or a parent-relative (</w:t>
      </w:r>
      <w:r>
        <w:rPr>
          <w:rFonts w:ascii="Courier New" w:hAnsi="Courier New" w:cs="Courier New" w:eastAsia="Courier New"/>
          <w:sz w:val="22"/>
          <w:szCs w:val="22"/>
        </w:rPr>
        <w:t xml:space="preserve">..</w:t>
      </w:r>
      <w:r>
        <w:rPr>
          <w:rFonts w:ascii="Times New Roman" w:hAnsi="Times New Roman" w:cs="Times New Roman" w:eastAsia="Times New Roman"/>
          <w:sz w:val="24"/>
          <w:szCs w:val="24"/>
        </w:rPr>
        <w:t xml:space="preserve">) member path.</w:t>
      </w:r>
    </w:p>
    <w:p>
      <w:pPr>
        <w:spacing w:before="0" w:after="120" w:line="276" w:lineRule="auto"/>
        <w:jc w:val="both"/>
      </w:pPr>
      <w:r>
        <w:rPr>
          <w:rFonts w:ascii="Times New Roman" w:hAnsi="Times New Roman" w:cs="Times New Roman" w:eastAsia="Times New Roman"/>
          <w:sz w:val="24"/>
          <w:szCs w:val="24"/>
        </w:rPr>
        <w:t xml:space="preserve">Table 5.1 lists the sources, and Table 7.1 gives the sizes of the logs.</w:t>
      </w:r>
    </w:p>
    <w:p>
      <w:pPr>
        <w:keepNext/>
        <w:spacing w:before="160" w:after="80" w:line="240" w:lineRule="auto"/>
        <w:jc w:val="center"/>
      </w:pPr>
      <w:bookmarkStart w:id="1050" w:name="_Tab_5_1"/>
      <w:r>
        <w:rPr>
          <w:rFonts w:ascii="Times New Roman" w:hAnsi="Times New Roman" w:cs="Times New Roman" w:eastAsia="Times New Roman"/>
          <w:b/>
          <w:bCs/>
          <w:sz w:val="20"/>
          <w:szCs w:val="20"/>
        </w:rPr>
        <w:t xml:space="preserve">Table 5.1: </w:t>
      </w:r>
      <w:r>
        <w:rPr>
          <w:rFonts w:ascii="Times New Roman" w:hAnsi="Times New Roman" w:cs="Times New Roman" w:eastAsia="Times New Roman"/>
          <w:sz w:val="20"/>
          <w:szCs w:val="20"/>
        </w:rPr>
        <w:t xml:space="preserve">Sources of the seven logs</w:t>
      </w:r>
      <w:bookmarkEnd w:id="105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111"/>
        <w:gridCol w:w="3111"/>
        <w:gridCol w:w="2852"/>
      </w:tblGrid>
      <w:tr>
        <w:trPr>
          <w:cantSplit/>
          <w:tblHeader/>
        </w:trPr>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Log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Publisher and record</w:t>
            </w:r>
          </w:p>
        </w:tc>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Authors of the dataset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CROP (Gerrit)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3599150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Paixao, Krinke, Han, Harman</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OULAD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UCI repository, DOI 10.24432/C5KK69</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Kuzilek, Hlosta, Zdrahal</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Angular commits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8430332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Pegoraro</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German Bundestag (20th period, filtered)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16811928</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Diers, Peeva, Rennert, van der Aalst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Enron e-mail (top 100,000 mails)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21989732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Ethereum DApps (300,000-event window)</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21989580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Age of Empires II (10-match filter)</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Zenodo 13365584</w:t>
            </w:r>
          </w:p>
        </w:tc>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Liss, Elbert, Flath</w:t>
            </w:r>
          </w:p>
        </w:tc>
      </w:tr>
    </w:tbl>
    <w:p>
      <w:pPr>
        <w:spacing w:before="0" w:after="120" w:line="240" w:lineRule="auto"/>
      </w:pPr>
    </w:p>
    <w:p>
      <w:pPr>
        <w:keepNext/>
        <w:spacing w:before="140" w:after="80" w:line="276" w:lineRule="auto"/>
        <w:outlineLvl w:val="2"/>
      </w:pPr>
      <w:bookmarkStart w:id="1051" w:name="_Toc_5_1_2"/>
      <w:r>
        <w:rPr>
          <w:rFonts w:ascii="Times New Roman" w:hAnsi="Times New Roman" w:cs="Times New Roman" w:eastAsia="Times New Roman"/>
          <w:b/>
          <w:bCs/>
          <w:i/>
          <w:iCs/>
          <w:sz w:val="24"/>
          <w:szCs w:val="24"/>
        </w:rPr>
        <w:t xml:space="preserve">5.1.2  M2: Convert and Load</w:t>
      </w:r>
      <w:bookmarkEnd w:id="1051"/>
    </w:p>
    <w:p>
      <w:pPr>
        <w:spacing w:before="0" w:after="120" w:line="276" w:lineRule="auto"/>
        <w:jc w:val="both"/>
      </w:pPr>
      <w:r>
        <w:rPr>
          <w:rFonts w:ascii="Times New Roman" w:hAnsi="Times New Roman" w:cs="Times New Roman" w:eastAsia="Times New Roman"/>
          <w:sz w:val="24"/>
          <w:szCs w:val="24"/>
        </w:rPr>
        <w:t xml:space="preserve">Five logs already come in an OCEL format: Angular and Bundestag as JSON, Age of Empires as SQLite, Enron and Ethereum as parquet bundles. For the other two, </w:t>
      </w:r>
      <w:r>
        <w:rPr>
          <w:rFonts w:ascii="Courier New" w:hAnsi="Courier New" w:cs="Courier New" w:eastAsia="Courier New"/>
          <w:sz w:val="22"/>
          <w:szCs w:val="22"/>
        </w:rPr>
        <w:t xml:space="preserve">convert_crop.py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convert_oulad.py</w:t>
      </w:r>
      <w:r>
        <w:rPr>
          <w:rFonts w:ascii="Times New Roman" w:hAnsi="Times New Roman" w:cs="Times New Roman" w:eastAsia="Times New Roman"/>
          <w:sz w:val="24"/>
          <w:szCs w:val="24"/>
        </w:rPr>
        <w:t xml:space="preserve"> build OCEL 2.0 SQLite files. CROP becomes three object types (change, person, project) with events like upload, comment, approve, merge and abandon, and OULAD becomes four (student, enrollment, presentation, assessment) with events like register, submit and unregister.</w:t>
      </w:r>
    </w:p>
    <w:p>
      <w:pPr>
        <w:spacing w:before="0" w:after="120" w:line="276" w:lineRule="auto"/>
        <w:jc w:val="both"/>
      </w:pPr>
      <w:r>
        <w:rPr>
          <w:rFonts w:ascii="Courier New" w:hAnsi="Courier New" w:cs="Courier New" w:eastAsia="Courier New"/>
          <w:sz w:val="22"/>
          <w:szCs w:val="22"/>
        </w:rPr>
        <w:t xml:space="preserve">ocel_io.py</w:t>
      </w:r>
      <w:r>
        <w:rPr>
          <w:rFonts w:ascii="Times New Roman" w:hAnsi="Times New Roman" w:cs="Times New Roman" w:eastAsia="Times New Roman"/>
          <w:sz w:val="24"/>
          <w:szCs w:val="24"/>
        </w:rPr>
        <w:t xml:space="preserve"> loads every format into the same four pandas tables. It hashes personal identifiers with a salted hash (the Enron e-mail addresses and the CROP names), splits the Enron e-mail address type by role (sender, recipient, copied) so each role can be a case notion, and for Ethereum cuts a contiguous window of 300,000 events. The flattening function used throughout the study is also defined there.</w:t>
      </w:r>
    </w:p>
    <w:p>
      <w:pPr>
        <w:keepNext/>
        <w:spacing w:before="140" w:after="80" w:line="276" w:lineRule="auto"/>
        <w:outlineLvl w:val="2"/>
      </w:pPr>
      <w:bookmarkStart w:id="1052" w:name="_Toc_5_1_3"/>
      <w:r>
        <w:rPr>
          <w:rFonts w:ascii="Times New Roman" w:hAnsi="Times New Roman" w:cs="Times New Roman" w:eastAsia="Times New Roman"/>
          <w:b/>
          <w:bCs/>
          <w:i/>
          <w:iCs/>
          <w:sz w:val="24"/>
          <w:szCs w:val="24"/>
        </w:rPr>
        <w:t xml:space="preserve">5.1.3  M3: Distortion Metrics</w:t>
      </w:r>
      <w:bookmarkEnd w:id="1052"/>
    </w:p>
    <w:p>
      <w:pPr>
        <w:spacing w:before="0" w:after="120" w:line="276" w:lineRule="auto"/>
        <w:jc w:val="both"/>
      </w:pPr>
      <w:r>
        <w:rPr>
          <w:rFonts w:ascii="Times New Roman" w:hAnsi="Times New Roman" w:cs="Times New Roman" w:eastAsia="Times New Roman"/>
          <w:sz w:val="24"/>
          <w:szCs w:val="24"/>
        </w:rPr>
        <w:t xml:space="preserve">A </w:t>
      </w:r>
      <w:r>
        <w:rPr>
          <w:rFonts w:ascii="Times New Roman" w:hAnsi="Times New Roman" w:cs="Times New Roman" w:eastAsia="Times New Roman"/>
          <w:i/>
          <w:iCs/>
          <w:sz w:val="24"/>
          <w:szCs w:val="24"/>
        </w:rPr>
        <w:t xml:space="preserve">case notion</w:t>
      </w:r>
      <w:r>
        <w:rPr>
          <w:rFonts w:ascii="Times New Roman" w:hAnsi="Times New Roman" w:cs="Times New Roman" w:eastAsia="Times New Roman"/>
          <w:sz w:val="24"/>
          <w:szCs w:val="24"/>
        </w:rPr>
        <w:t xml:space="preserve"> is an object type we choose as the case. Flattening on type </w:t>
      </w:r>
      <w:r>
        <w:rPr>
          <w:rFonts w:ascii="Times New Roman" w:hAnsi="Times New Roman" w:cs="Times New Roman" w:eastAsia="Times New Roman"/>
          <w:i/>
          <w:iCs/>
          <w:sz w:val="24"/>
          <w:szCs w:val="24"/>
        </w:rPr>
        <w:t xml:space="preserve">T</w:t>
      </w:r>
      <w:r>
        <w:rPr>
          <w:rFonts w:ascii="Times New Roman" w:hAnsi="Times New Roman" w:cs="Times New Roman" w:eastAsia="Times New Roman"/>
          <w:sz w:val="24"/>
          <w:szCs w:val="24"/>
        </w:rPr>
        <w:t xml:space="preserve"> gives one row for every distinct pair of an event and a T-object, equivalent to the flattening function in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events with several T-objects are repeated, events with none are dropped, and only event-level attributes survive. A case notion counts as </w:t>
      </w:r>
      <w:r>
        <w:rPr>
          <w:rFonts w:ascii="Times New Roman" w:hAnsi="Times New Roman" w:cs="Times New Roman" w:eastAsia="Times New Roman"/>
          <w:i/>
          <w:iCs/>
          <w:sz w:val="24"/>
          <w:szCs w:val="24"/>
        </w:rPr>
        <w:t xml:space="preserve">analysed</w:t>
      </w:r>
      <w:r>
        <w:rPr>
          <w:rFonts w:ascii="Times New Roman" w:hAnsi="Times New Roman" w:cs="Times New Roman" w:eastAsia="Times New Roman"/>
          <w:sz w:val="24"/>
          <w:szCs w:val="24"/>
        </w:rPr>
        <w:t xml:space="preserve"> when it covers at least 1,000 events, which leaves 38 case notions over the seven logs. Table 5.2 defines the metrics.</w:t>
      </w:r>
    </w:p>
    <w:p>
      <w:pPr>
        <w:keepNext/>
        <w:spacing w:before="160" w:after="80" w:line="240" w:lineRule="auto"/>
        <w:jc w:val="center"/>
      </w:pPr>
      <w:bookmarkStart w:id="1053" w:name="_Tab_5_2"/>
      <w:r>
        <w:rPr>
          <w:rFonts w:ascii="Times New Roman" w:hAnsi="Times New Roman" w:cs="Times New Roman" w:eastAsia="Times New Roman"/>
          <w:b/>
          <w:bCs/>
          <w:sz w:val="20"/>
          <w:szCs w:val="20"/>
        </w:rPr>
        <w:t xml:space="preserve">Table 5.2: </w:t>
      </w:r>
      <w:r>
        <w:rPr>
          <w:rFonts w:ascii="Times New Roman" w:hAnsi="Times New Roman" w:cs="Times New Roman" w:eastAsia="Times New Roman"/>
          <w:sz w:val="20"/>
          <w:szCs w:val="20"/>
        </w:rPr>
        <w:t xml:space="preserve">Distortion metrics for a case notion T</w:t>
      </w:r>
      <w:bookmarkEnd w:id="1053"/>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917"/>
        <w:gridCol w:w="4345"/>
        <w:gridCol w:w="2811"/>
      </w:tblGrid>
      <w:tr>
        <w:trPr>
          <w:cantSplit/>
          <w:tblHeader/>
        </w:trPr>
        <w:tc>
          <w:tcPr>
            <w:tcW w:w="191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Metric</w:t>
            </w:r>
          </w:p>
        </w:tc>
        <w:tc>
          <w:tcPr>
            <w:tcW w:w="434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Definition</w:t>
            </w:r>
          </w:p>
        </w:tc>
        <w:tc>
          <w:tcPr>
            <w:tcW w:w="28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How to read it</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Deficiency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events with no T-object</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 flat view drops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Convergence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covered events related to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copied into several cases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Copies per event</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Flat rows divided by covered events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Inflation of event counts (1.0 means none)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Divergence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(case, activity) pairs with two or more events whose other-object sets differ</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Repeated events that belong to different objects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Nested child</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Another type U whose objects are almost exclusive to one case (95% or more), have their own lifecycle (two or more events) and a fan-out of at least 1.5 per case</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Items of an order, for example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Cross-instance adjacency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Among directly-follows pairs in cases with two or more nested children, the share whose two events concern disjoint children</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adjacent in the flat log but unrelated in the data</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Coupling</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For an ordered pair of types (T, U), the share of U-objects that touch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How much the cases share objects</w:t>
            </w:r>
          </w:p>
        </w:tc>
      </w:tr>
      <w:tr>
        <w:trPr>
          <w:cantSplit/>
        </w:trPr>
        <w:tc>
          <w:tcPr>
            <w:tcW w:w="1917" w:type="dxa"/>
            <w:vAlign w:val="center"/>
          </w:tcPr>
          <w:p>
            <w:pPr>
              <w:spacing w:before="0" w:after="0" w:line="240" w:lineRule="auto"/>
              <w:jc w:val="left"/>
            </w:pPr>
            <w:r>
              <w:rPr>
                <w:rFonts w:ascii="Times New Roman" w:hAnsi="Times New Roman" w:cs="Times New Roman" w:eastAsia="Times New Roman"/>
                <w:sz w:val="18"/>
                <w:szCs w:val="18"/>
              </w:rPr>
              <w:t xml:space="preserve">Variants per case</w:t>
            </w:r>
          </w:p>
        </w:tc>
        <w:tc>
          <w:tcPr>
            <w:tcW w:w="4345" w:type="dxa"/>
            <w:vAlign w:val="center"/>
          </w:tcPr>
          <w:p>
            <w:pPr>
              <w:spacing w:before="0" w:after="0" w:line="240" w:lineRule="auto"/>
              <w:jc w:val="left"/>
            </w:pPr>
            <w:r>
              <w:rPr>
                <w:rFonts w:ascii="Times New Roman" w:hAnsi="Times New Roman" w:cs="Times New Roman" w:eastAsia="Times New Roman"/>
                <w:sz w:val="18"/>
                <w:szCs w:val="18"/>
              </w:rPr>
              <w:t xml:space="preserve">Distinct activity sequences divided by cases</w:t>
            </w:r>
          </w:p>
        </w:tc>
        <w:tc>
          <w:tcPr>
            <w:tcW w:w="2811" w:type="dxa"/>
            <w:vAlign w:val="center"/>
          </w:tcPr>
          <w:p>
            <w:pPr>
              <w:spacing w:before="0" w:after="0" w:line="240" w:lineRule="auto"/>
              <w:jc w:val="left"/>
            </w:pPr>
            <w:r>
              <w:rPr>
                <w:rFonts w:ascii="Times New Roman" w:hAnsi="Times New Roman" w:cs="Times New Roman" w:eastAsia="Times New Roman"/>
                <w:sz w:val="18"/>
                <w:szCs w:val="18"/>
              </w:rPr>
              <w:t xml:space="preserve">How scattered the flat behaviour looks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thresholds (95% exclusivity, fan-out of 1.5, 1,000 events) are our own choices. They sit at the top of </w:t>
      </w:r>
      <w:r>
        <w:rPr>
          <w:rFonts w:ascii="Courier New" w:hAnsi="Courier New" w:cs="Courier New" w:eastAsia="Courier New"/>
          <w:sz w:val="22"/>
          <w:szCs w:val="22"/>
        </w:rPr>
        <w:t xml:space="preserve">distortion.py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consequence.py</w:t>
      </w:r>
      <w:r>
        <w:rPr>
          <w:rFonts w:ascii="Times New Roman" w:hAnsi="Times New Roman" w:cs="Times New Roman" w:eastAsia="Times New Roman"/>
          <w:sz w:val="24"/>
          <w:szCs w:val="24"/>
        </w:rPr>
        <w:t xml:space="preserve">, and none of them was tuned to improve a result.</w:t>
      </w:r>
    </w:p>
    <w:p>
      <w:pPr>
        <w:keepNext/>
        <w:spacing w:before="140" w:after="80" w:line="276" w:lineRule="auto"/>
        <w:outlineLvl w:val="2"/>
      </w:pPr>
      <w:bookmarkStart w:id="1054" w:name="_Toc_5_1_4"/>
      <w:r>
        <w:rPr>
          <w:rFonts w:ascii="Times New Roman" w:hAnsi="Times New Roman" w:cs="Times New Roman" w:eastAsia="Times New Roman"/>
          <w:b/>
          <w:bCs/>
          <w:i/>
          <w:iCs/>
          <w:sz w:val="24"/>
          <w:szCs w:val="24"/>
        </w:rPr>
        <w:t xml:space="preserve">5.1.4  M4: Consequence Analysis</w:t>
      </w:r>
      <w:bookmarkEnd w:id="1054"/>
    </w:p>
    <w:p>
      <w:pPr>
        <w:spacing w:before="0" w:after="120" w:line="276" w:lineRule="auto"/>
        <w:jc w:val="both"/>
      </w:pPr>
      <w:r>
        <w:rPr>
          <w:rFonts w:ascii="Times New Roman" w:hAnsi="Times New Roman" w:cs="Times New Roman" w:eastAsia="Times New Roman"/>
          <w:sz w:val="24"/>
          <w:szCs w:val="24"/>
        </w:rPr>
        <w:t xml:space="preserve">Distortion metrics tell us how much a flat view differs; the consequence analysis asks what an analyst would read differently. The reference is the object-centric view: every event counted once, plus the object-centric directly-follows relation, which is the union of consecutive-event pairs over the lifecycle of every object of every type. For each case notion we compare four outputs against that reference, and then we look at the process model an analyst would discover from the flat log.</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C1, activity ranking: Spearman rank correlation of the flat activity counts with (a) the counts of the whole process, each event once, and (b) the counts of the same covered events each counted once, which isolates the effect of duplication. We also report the share of activities visible at all.</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C2, directly-follows edges: duplication of event pairs (flat pairs divided by distinct pairs), rank agreement of edge frequencies with and without duplicates, the largest inflation among the ten most frequent reference edges, and, when nested children exist, the share of flat edge instances whose edge type never occurs inside any child (the spurious edge mass).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C3, variants: distinct activity sequences, variants per case, and the share of cases covered by the ten most frequent variants.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C4, entity ranking: for every other object type with at least 30 objects, the rank correlation between the true number of events per object and the row count that a denormalised flat export of T would give, over the objects that appear in the export at all.</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C5, discovered model: the Inductive Miner with infrequent-behaviour filtering [12] (noise threshold 0.2, as implemented in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[15]) runs on each flat log. The model is scored on the same flat log with token-based replay fitness [13] and token-based precision [14], and we record the size of the process tree, its </w:t>
      </w:r>
      <w:r>
        <w:rPr>
          <w:rFonts w:ascii="Times New Roman" w:hAnsi="Times New Roman" w:cs="Times New Roman" w:eastAsia="Times New Roman"/>
          <w:i/>
          <w:iCs/>
          <w:sz w:val="24"/>
          <w:szCs w:val="24"/>
        </w:rPr>
        <w:t xml:space="preserve">loop share</w:t>
      </w:r>
      <w:r>
        <w:rPr>
          <w:rFonts w:ascii="Times New Roman" w:hAnsi="Times New Roman" w:cs="Times New Roman" w:eastAsia="Times New Roman"/>
          <w:sz w:val="24"/>
          <w:szCs w:val="24"/>
        </w:rPr>
        <w:t xml:space="preserve"> (the share of its visible activities that sit under a loop operator) and the share of the process's activities that the model contains at all.</w:t>
      </w:r>
    </w:p>
    <w:p>
      <w:pPr>
        <w:spacing w:before="0" w:after="120" w:line="276" w:lineRule="auto"/>
        <w:jc w:val="both"/>
      </w:pPr>
      <w:r>
        <w:rPr>
          <w:rFonts w:ascii="Times New Roman" w:hAnsi="Times New Roman" w:cs="Times New Roman" w:eastAsia="Times New Roman"/>
          <w:sz w:val="24"/>
          <w:szCs w:val="24"/>
        </w:rPr>
        <w:t xml:space="preserve">Precision replays every prefix of every case, so its cost grows with the square of case length; we compute it only when the squared case lengths add up to at most 20 million, and each case notion gets an hour in total. The Inductive Miner copies its process tree with Python's </w:t>
      </w:r>
      <w:r>
        <w:rPr>
          <w:rFonts w:ascii="Courier New" w:hAnsi="Courier New" w:cs="Courier New" w:eastAsia="Courier New"/>
          <w:sz w:val="22"/>
          <w:szCs w:val="22"/>
        </w:rPr>
        <w:t xml:space="preserve">deepcopy</w:t>
      </w:r>
      <w:r>
        <w:rPr>
          <w:rFonts w:ascii="Times New Roman" w:hAnsi="Times New Roman" w:cs="Times New Roman" w:eastAsia="Times New Roman"/>
          <w:sz w:val="24"/>
          <w:szCs w:val="24"/>
        </w:rPr>
        <w:t xml:space="preserve"> while simplifying it, and on cases of several thousand events that nests deeper than Python's default limit of 1,000 calls. Two Age of Empires II case notions failed on this account in our first runs, so </w:t>
      </w:r>
      <w:r>
        <w:rPr>
          <w:rFonts w:ascii="Courier New" w:hAnsi="Courier New" w:cs="Courier New" w:eastAsia="Courier New"/>
          <w:sz w:val="22"/>
          <w:szCs w:val="22"/>
        </w:rPr>
        <w:t xml:space="preserve">discovery.py</w:t>
      </w:r>
      <w:r>
        <w:rPr>
          <w:rFonts w:ascii="Times New Roman" w:hAnsi="Times New Roman" w:cs="Times New Roman" w:eastAsia="Times New Roman"/>
          <w:sz w:val="24"/>
          <w:szCs w:val="24"/>
        </w:rPr>
        <w:t xml:space="preserve"> raises the limit inside the mining process.</w:t>
      </w:r>
    </w:p>
    <w:p>
      <w:pPr>
        <w:spacing w:before="0" w:after="120" w:line="276" w:lineRule="auto"/>
        <w:jc w:val="both"/>
      </w:pPr>
      <w:r>
        <w:rPr>
          <w:rFonts w:ascii="Times New Roman" w:hAnsi="Times New Roman" w:cs="Times New Roman" w:eastAsia="Times New Roman"/>
          <w:sz w:val="24"/>
          <w:szCs w:val="24"/>
        </w:rPr>
        <w:t xml:space="preserve">Two details matter for fairness. Events are coded by sorted event identifier, so ties in time always break the same way, and the analysis keeps </w:t>
      </w:r>
      <w:r>
        <w:rPr>
          <w:rFonts w:ascii="Times New Roman" w:hAnsi="Times New Roman" w:cs="Times New Roman" w:eastAsia="Times New Roman"/>
          <w:i/>
          <w:iCs/>
          <w:sz w:val="24"/>
          <w:szCs w:val="24"/>
        </w:rPr>
        <w:t xml:space="preserve">duplication</w:t>
      </w:r>
      <w:r>
        <w:rPr>
          <w:rFonts w:ascii="Times New Roman" w:hAnsi="Times New Roman" w:cs="Times New Roman" w:eastAsia="Times New Roman"/>
          <w:sz w:val="24"/>
          <w:szCs w:val="24"/>
        </w:rPr>
        <w:t xml:space="preserve"> (the same event counted several times) apart from </w:t>
      </w:r>
      <w:r>
        <w:rPr>
          <w:rFonts w:ascii="Times New Roman" w:hAnsi="Times New Roman" w:cs="Times New Roman" w:eastAsia="Times New Roman"/>
          <w:i/>
          <w:iCs/>
          <w:sz w:val="24"/>
          <w:szCs w:val="24"/>
        </w:rPr>
        <w:t xml:space="preserve">narrowing</w:t>
      </w:r>
      <w:r>
        <w:rPr>
          <w:rFonts w:ascii="Times New Roman" w:hAnsi="Times New Roman" w:cs="Times New Roman" w:eastAsia="Times New Roman"/>
          <w:sz w:val="24"/>
          <w:szCs w:val="24"/>
        </w:rPr>
        <w:t xml:space="preserve"> (events or activities a case notion never sees). An analyst can undo the first by de-duplicating on the event identifier; the second, however, cannot be recovered from a flat log.</w:t>
      </w:r>
    </w:p>
    <w:p>
      <w:pPr>
        <w:spacing w:before="0" w:after="120" w:line="276" w:lineRule="auto"/>
        <w:jc w:val="both"/>
      </w:pPr>
      <w:r>
        <w:rPr>
          <w:rFonts w:ascii="Times New Roman" w:hAnsi="Times New Roman" w:cs="Times New Roman" w:eastAsia="Times New Roman"/>
          <w:sz w:val="24"/>
          <w:szCs w:val="24"/>
        </w:rPr>
        <w:t xml:space="preserve">Some object types would never be chosen as a case notion. A farm in Age of Empires II, as an illustration, takes part in only a handful of activities. To separate this structural narrowing from narrowing that an analyst could plausibly encounter, we also look at the </w:t>
      </w:r>
      <w:r>
        <w:rPr>
          <w:rFonts w:ascii="Times New Roman" w:hAnsi="Times New Roman" w:cs="Times New Roman" w:eastAsia="Times New Roman"/>
          <w:i/>
          <w:iCs/>
          <w:sz w:val="24"/>
          <w:szCs w:val="24"/>
        </w:rPr>
        <w:t xml:space="preserve">widest</w:t>
      </w:r>
      <w:r>
        <w:rPr>
          <w:rFonts w:ascii="Times New Roman" w:hAnsi="Times New Roman" w:cs="Times New Roman" w:eastAsia="Times New Roman"/>
          <w:sz w:val="24"/>
          <w:szCs w:val="24"/>
        </w:rPr>
        <w:t xml:space="preserve"> case notion of each log (the one covering the most events) and at </w:t>
      </w:r>
      <w:r>
        <w:rPr>
          <w:rFonts w:ascii="Times New Roman" w:hAnsi="Times New Roman" w:cs="Times New Roman" w:eastAsia="Times New Roman"/>
          <w:i/>
          <w:iCs/>
          <w:sz w:val="24"/>
          <w:szCs w:val="24"/>
        </w:rPr>
        <w:t xml:space="preserve">plausible</w:t>
      </w:r>
      <w:r>
        <w:rPr>
          <w:rFonts w:ascii="Times New Roman" w:hAnsi="Times New Roman" w:cs="Times New Roman" w:eastAsia="Times New Roman"/>
          <w:sz w:val="24"/>
          <w:szCs w:val="24"/>
        </w:rPr>
        <w:t xml:space="preserve"> case notions, meaning those that cover at least half of the log's events. Both views were introduced after the first results were seen, so we report them over a range of thresholds rather than at 50% only.</w:t>
      </w:r>
    </w:p>
    <w:p>
      <w:pPr>
        <w:spacing w:before="0" w:after="120" w:line="276" w:lineRule="auto"/>
        <w:jc w:val="both"/>
      </w:pPr>
      <w:r>
        <w:rPr>
          <w:rFonts w:ascii="Times New Roman" w:hAnsi="Times New Roman" w:cs="Times New Roman" w:eastAsia="Times New Roman"/>
          <w:sz w:val="24"/>
          <w:szCs w:val="24"/>
        </w:rPr>
        <w:t xml:space="preserve">Every number is computed on the full data, so the remaining uncertainty is about which events and which items happen to be in a log. </w:t>
      </w:r>
      <w:r>
        <w:rPr>
          <w:rFonts w:ascii="Courier New" w:hAnsi="Courier New" w:cs="Courier New" w:eastAsia="Courier New"/>
          <w:sz w:val="22"/>
          <w:szCs w:val="22"/>
        </w:rPr>
        <w:t xml:space="preserve">bootstrap.py</w:t>
      </w:r>
      <w:r>
        <w:rPr>
          <w:rFonts w:ascii="Times New Roman" w:hAnsi="Times New Roman" w:cs="Times New Roman" w:eastAsia="Times New Roman"/>
          <w:sz w:val="24"/>
          <w:szCs w:val="24"/>
        </w:rPr>
        <w:t xml:space="preserve"> estimates it with 200 bootstrap replicates and a fixed seed. For counts of case notions it gives every event a Poisson(1) weight and recomputes coverage and visibility; for rank correlations it resamples the ranked items themselves (activities, or visible entities). An earlier version also applied event weights for the correlations and generated intervals that did not contain their own estimates: an entity with a single event receives the same weight in its true count and in its row count, which creates artificial agreement. The unweighted replicate reproduces every published value, and the script checks that before it starts.</w:t>
      </w:r>
    </w:p>
    <w:p>
      <w:pPr>
        <w:keepNext/>
        <w:spacing w:before="140" w:after="80" w:line="276" w:lineRule="auto"/>
        <w:outlineLvl w:val="2"/>
      </w:pPr>
      <w:bookmarkStart w:id="1055" w:name="_Toc_5_1_5"/>
      <w:r>
        <w:rPr>
          <w:rFonts w:ascii="Times New Roman" w:hAnsi="Times New Roman" w:cs="Times New Roman" w:eastAsia="Times New Roman"/>
          <w:b/>
          <w:bCs/>
          <w:i/>
          <w:iCs/>
          <w:sz w:val="24"/>
          <w:szCs w:val="24"/>
        </w:rPr>
        <w:t xml:space="preserve">5.1.5  M5: Predicate Engine (Appendix-Level)</w:t>
      </w:r>
      <w:bookmarkEnd w:id="1055"/>
    </w:p>
    <w:p>
      <w:pPr>
        <w:spacing w:before="0" w:after="120" w:line="276" w:lineRule="auto"/>
        <w:jc w:val="both"/>
      </w:pPr>
      <w:r>
        <w:rPr>
          <w:rFonts w:ascii="Times New Roman" w:hAnsi="Times New Roman" w:cs="Times New Roman" w:eastAsia="Times New Roman"/>
          <w:sz w:val="24"/>
          <w:szCs w:val="24"/>
        </w:rPr>
        <w:t xml:space="preserve">A rule-based engine is kept from earlier work, </w:t>
      </w:r>
      <w:r>
        <w:rPr>
          <w:rFonts w:ascii="Courier New" w:hAnsi="Courier New" w:cs="Courier New" w:eastAsia="Courier New"/>
          <w:sz w:val="22"/>
          <w:szCs w:val="22"/>
        </w:rPr>
        <w:t xml:space="preserve">cooc.py</w:t>
      </w:r>
      <w:r>
        <w:rPr>
          <w:rFonts w:ascii="Times New Roman" w:hAnsi="Times New Roman" w:cs="Times New Roman" w:eastAsia="Times New Roman"/>
          <w:sz w:val="24"/>
          <w:szCs w:val="24"/>
        </w:rPr>
        <w:t xml:space="preserve"> with </w:t>
      </w:r>
      <w:r>
        <w:rPr>
          <w:rFonts w:ascii="Courier New" w:hAnsi="Courier New" w:cs="Courier New" w:eastAsia="Courier New"/>
          <w:sz w:val="22"/>
          <w:szCs w:val="22"/>
        </w:rPr>
        <w:t xml:space="preserve">registry.py</w:t>
      </w:r>
      <w:r>
        <w:rPr>
          <w:rFonts w:ascii="Times New Roman" w:hAnsi="Times New Roman" w:cs="Times New Roman" w:eastAsia="Times New Roman"/>
          <w:sz w:val="24"/>
          <w:szCs w:val="24"/>
        </w:rPr>
        <w:t xml:space="preserve">; it evaluates eleven natural rules (as an illustration, a change is merged only after an approval vote, or no submission after the assessment deadline) on native, flat and denormalised-flat views of CROP and OULAD. Two logs and eleven rules are too few to support a conclusion, so the engine is excluded from the main results.</w:t>
      </w:r>
    </w:p>
    <w:p>
      <w:pPr>
        <w:keepNext/>
        <w:spacing w:before="140" w:after="80" w:line="276" w:lineRule="auto"/>
        <w:outlineLvl w:val="2"/>
      </w:pPr>
      <w:bookmarkStart w:id="1056" w:name="_Toc_5_1_6"/>
      <w:r>
        <w:rPr>
          <w:rFonts w:ascii="Times New Roman" w:hAnsi="Times New Roman" w:cs="Times New Roman" w:eastAsia="Times New Roman"/>
          <w:b/>
          <w:bCs/>
          <w:i/>
          <w:iCs/>
          <w:sz w:val="24"/>
          <w:szCs w:val="24"/>
        </w:rPr>
        <w:t xml:space="preserve">5.1.6  M6: Validation</w:t>
      </w:r>
      <w:bookmarkEnd w:id="1056"/>
    </w:p>
    <w:p>
      <w:pPr>
        <w:spacing w:before="0" w:after="120" w:line="276" w:lineRule="auto"/>
        <w:jc w:val="both"/>
      </w:pPr>
      <w:r>
        <w:rPr>
          <w:rFonts w:ascii="Courier New" w:hAnsi="Courier New" w:cs="Courier New" w:eastAsia="Courier New"/>
          <w:sz w:val="22"/>
          <w:szCs w:val="22"/>
        </w:rPr>
        <w:t xml:space="preserve">sql_crosscheck.py</w:t>
      </w:r>
      <w:r>
        <w:rPr>
          <w:rFonts w:ascii="Times New Roman" w:hAnsi="Times New Roman" w:cs="Times New Roman" w:eastAsia="Times New Roman"/>
          <w:sz w:val="24"/>
          <w:szCs w:val="24"/>
        </w:rPr>
        <w:t xml:space="preserve"> re-implements four CROP rules in plain SQL on the OCEL SQLite file, opened read-only. </w:t>
      </w:r>
      <w:r>
        <w:rPr>
          <w:rFonts w:ascii="Courier New" w:hAnsi="Courier New" w:cs="Courier New" w:eastAsia="Courier New"/>
          <w:sz w:val="22"/>
          <w:szCs w:val="22"/>
        </w:rPr>
        <w:t xml:space="preserve">check_consequence.py</w:t>
      </w:r>
      <w:r>
        <w:rPr>
          <w:rFonts w:ascii="Times New Roman" w:hAnsi="Times New Roman" w:cs="Times New Roman" w:eastAsia="Times New Roman"/>
          <w:sz w:val="24"/>
          <w:szCs w:val="24"/>
        </w:rPr>
        <w:t xml:space="preserve"> compares the fast consequence code with a slow plain-Python version on a real slice of the Enron log, and </w:t>
      </w:r>
      <w:r>
        <w:rPr>
          <w:rFonts w:ascii="Courier New" w:hAnsi="Courier New" w:cs="Courier New" w:eastAsia="Courier New"/>
          <w:sz w:val="22"/>
          <w:szCs w:val="22"/>
        </w:rPr>
        <w:t xml:space="preserve">check_distortion.py</w:t>
      </w:r>
      <w:r>
        <w:rPr>
          <w:rFonts w:ascii="Times New Roman" w:hAnsi="Times New Roman" w:cs="Times New Roman" w:eastAsia="Times New Roman"/>
          <w:sz w:val="24"/>
          <w:szCs w:val="24"/>
        </w:rPr>
        <w:t xml:space="preserve"> does the same for the distortion metrics, using only dictionaries and sets. By default it runs on 6,000-event slices of Enron, Bundestag and Age of Empires II; with </w:t>
      </w:r>
      <w:r>
        <w:rPr>
          <w:rFonts w:ascii="Courier New" w:hAnsi="Courier New" w:cs="Courier New" w:eastAsia="Courier New"/>
          <w:sz w:val="22"/>
          <w:szCs w:val="22"/>
        </w:rPr>
        <w:t xml:space="preserve">--full</w:t>
      </w:r>
      <w:r>
        <w:rPr>
          <w:rFonts w:ascii="Times New Roman" w:hAnsi="Times New Roman" w:cs="Times New Roman" w:eastAsia="Times New Roman"/>
          <w:sz w:val="24"/>
          <w:szCs w:val="24"/>
        </w:rPr>
        <w:t xml:space="preserve"> (part of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it recomputes every metric on all seven full logs and compares the result with the published files. Finally, the OULAD counts are recomputed independently from the raw CSV files. Section 5.2 reports the results.</w:t>
      </w:r>
    </w:p>
    <w:p>
      <w:pPr>
        <w:keepNext/>
        <w:spacing w:before="140" w:after="80" w:line="276" w:lineRule="auto"/>
        <w:outlineLvl w:val="2"/>
      </w:pPr>
      <w:bookmarkStart w:id="1057" w:name="_Toc_5_1_7"/>
      <w:r>
        <w:rPr>
          <w:rFonts w:ascii="Times New Roman" w:hAnsi="Times New Roman" w:cs="Times New Roman" w:eastAsia="Times New Roman"/>
          <w:b/>
          <w:bCs/>
          <w:i/>
          <w:iCs/>
          <w:sz w:val="24"/>
          <w:szCs w:val="24"/>
        </w:rPr>
        <w:t xml:space="preserve">5.1.7  M7: Summaries</w:t>
      </w:r>
      <w:bookmarkEnd w:id="1057"/>
    </w:p>
    <w:p>
      <w:pPr>
        <w:spacing w:before="0" w:after="120" w:line="276" w:lineRule="auto"/>
        <w:jc w:val="left"/>
      </w:pPr>
      <w:r>
        <w:rPr>
          <w:rFonts w:ascii="Courier New" w:hAnsi="Courier New" w:cs="Courier New" w:eastAsia="Courier New"/>
          <w:sz w:val="22"/>
          <w:szCs w:val="22"/>
        </w:rPr>
        <w:t xml:space="preserve">summarize_distortion.py</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summarize_log_level.py</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summarize_consequence.py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summarize_discovery.py</w:t>
      </w:r>
      <w:r>
        <w:rPr>
          <w:rFonts w:ascii="Times New Roman" w:hAnsi="Times New Roman" w:cs="Times New Roman" w:eastAsia="Times New Roman"/>
          <w:sz w:val="24"/>
          <w:szCs w:val="24"/>
        </w:rPr>
        <w:t xml:space="preserve"> combine the per-log JSON files into the CSV and Markdown tables used in Chapter 7.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runs the main sequence and the full-log check, and </w:t>
      </w:r>
      <w:r>
        <w:rPr>
          <w:rFonts w:ascii="Courier New" w:hAnsi="Courier New" w:cs="Courier New" w:eastAsia="Courier New"/>
          <w:sz w:val="22"/>
          <w:szCs w:val="22"/>
        </w:rPr>
        <w:t xml:space="preserve">make extended</w:t>
      </w:r>
      <w:r>
        <w:rPr>
          <w:rFonts w:ascii="Times New Roman" w:hAnsi="Times New Roman" w:cs="Times New Roman" w:eastAsia="Times New Roman"/>
          <w:sz w:val="24"/>
          <w:szCs w:val="24"/>
        </w:rPr>
        <w:t xml:space="preserve"> runs the bootstrap and the process-discovery comparison, which take much longer.</w:t>
      </w:r>
    </w:p>
    <w:p>
      <w:pPr>
        <w:keepNext/>
        <w:spacing w:before="200" w:after="100" w:line="276" w:lineRule="auto"/>
        <w:outlineLvl w:val="1"/>
      </w:pPr>
      <w:bookmarkStart w:id="1058" w:name="_Toc_5_2"/>
      <w:r>
        <w:rPr>
          <w:rFonts w:ascii="Times New Roman" w:hAnsi="Times New Roman" w:cs="Times New Roman" w:eastAsia="Times New Roman"/>
          <w:b/>
          <w:bCs/>
          <w:sz w:val="24"/>
          <w:szCs w:val="24"/>
        </w:rPr>
        <w:t xml:space="preserve">5.2  Testing</w:t>
      </w:r>
      <w:bookmarkEnd w:id="1058"/>
    </w:p>
    <w:p>
      <w:pPr>
        <w:spacing w:before="0" w:after="120" w:line="276" w:lineRule="auto"/>
        <w:jc w:val="both"/>
      </w:pPr>
      <w:r>
        <w:rPr>
          <w:rFonts w:ascii="Times New Roman" w:hAnsi="Times New Roman" w:cs="Times New Roman" w:eastAsia="Times New Roman"/>
          <w:sz w:val="24"/>
          <w:szCs w:val="24"/>
        </w:rPr>
        <w:t xml:space="preserve">The project was tested as we would test an external piece of work; Table 5.3 lists each check, what it establishes and its outcome.</w:t>
      </w:r>
    </w:p>
    <w:p>
      <w:pPr>
        <w:keepNext/>
        <w:spacing w:before="160" w:after="80" w:line="240" w:lineRule="auto"/>
        <w:jc w:val="center"/>
      </w:pPr>
      <w:bookmarkStart w:id="1059" w:name="_Tab_5_3"/>
      <w:r>
        <w:rPr>
          <w:rFonts w:ascii="Times New Roman" w:hAnsi="Times New Roman" w:cs="Times New Roman" w:eastAsia="Times New Roman"/>
          <w:b/>
          <w:bCs/>
          <w:sz w:val="20"/>
          <w:szCs w:val="20"/>
        </w:rPr>
        <w:t xml:space="preserve">Table 5.3: </w:t>
      </w:r>
      <w:r>
        <w:rPr>
          <w:rFonts w:ascii="Times New Roman" w:hAnsi="Times New Roman" w:cs="Times New Roman" w:eastAsia="Times New Roman"/>
          <w:sz w:val="20"/>
          <w:szCs w:val="20"/>
        </w:rPr>
        <w:t xml:space="preserve">Verification checks</w:t>
      </w:r>
      <w:bookmarkEnd w:id="1059"/>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203"/>
        <w:gridCol w:w="2981"/>
        <w:gridCol w:w="3889"/>
      </w:tblGrid>
      <w:tr>
        <w:trPr>
          <w:cantSplit/>
          <w:tblHeader/>
        </w:trPr>
        <w:tc>
          <w:tcPr>
            <w:tcW w:w="22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Check</w:t>
            </w:r>
          </w:p>
        </w:tc>
        <w:tc>
          <w:tcPr>
            <w:tcW w:w="2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it proves</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Result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Download integrity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Zenodo files match the published size and MD5</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Verified for the Zenodo sources; SHA-256 recorded for every file, including OULAD</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Reproducibility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Re-running gives the same outputs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Tracked result files were byte-identical after a re-run (checked with Git)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SQL cross-check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predicate code matches independent SQL</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4 of 4 CROP rules match exactly: 522, 19,109, 164 and 423 flagged changes</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Brute-force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fast consequence code equals plain Python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Directly-follows pairs identical on 4 case notions; entity ranking identical</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pandas distortion metrics equal a plain-Python version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Identical on all seven full logs: 87 case notions (every object type) and 294 type pairs</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Bootstrap reproduction</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resampling code computes the same statistics as the analysis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The unweighted replicate matches all 38 case notions exactly</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Independent recomputation</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OULAD counts match the raw CSV files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15,348 enrolments with a late submission, 415 submissions after unregistration, 29 flagged by the stage-order rule: all exact</w:t>
            </w:r>
          </w:p>
        </w:tc>
      </w:tr>
      <w:tr>
        <w:trPr>
          <w:cantSplit/>
        </w:trPr>
        <w:tc>
          <w:tcPr>
            <w:tcW w:w="2203" w:type="dxa"/>
            <w:vAlign w:val="center"/>
          </w:tcPr>
          <w:p>
            <w:pPr>
              <w:spacing w:before="0" w:after="0" w:line="240" w:lineRule="auto"/>
              <w:jc w:val="left"/>
            </w:pPr>
            <w:r>
              <w:rPr>
                <w:rFonts w:ascii="Times New Roman" w:hAnsi="Times New Roman" w:cs="Times New Roman" w:eastAsia="Times New Roman"/>
                <w:sz w:val="18"/>
                <w:szCs w:val="18"/>
              </w:rPr>
              <w:t xml:space="preserve">Bugs found by our own checks</w:t>
            </w:r>
          </w:p>
        </w:tc>
        <w:tc>
          <w:tcPr>
            <w:tcW w:w="2981" w:type="dxa"/>
            <w:vAlign w:val="center"/>
          </w:tcPr>
          <w:p>
            <w:pPr>
              <w:spacing w:before="0" w:after="0" w:line="240" w:lineRule="auto"/>
              <w:jc w:val="left"/>
            </w:pPr>
            <w:r>
              <w:rPr>
                <w:rFonts w:ascii="Times New Roman" w:hAnsi="Times New Roman" w:cs="Times New Roman" w:eastAsia="Times New Roman"/>
                <w:sz w:val="18"/>
                <w:szCs w:val="18"/>
              </w:rPr>
              <w:t xml:space="preserve">The checks detect real errors</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Three bugs found and fixed (see below)</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checks caught three bugs of our own, and we fixed all three before producing the results in this report.</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Duplicate events: duplicate event rows were written by the CROP converter, about 17% of them. They are removed.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missed abandon form: the converter did not recognise one phrasing of the Gerrit abandon message ("Patch Set N: Abandoned"). It does now.</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Tie-breaking: events with the same timestamp could be ordered differently in two code paths, so events are now ordered by timestamp and then by event identifier.</w:t>
      </w:r>
    </w:p>
    <w:p>
      <w:pPr>
        <w:spacing w:before="0" w:after="120" w:line="276" w:lineRule="auto"/>
        <w:jc w:val="both"/>
      </w:pPr>
      <w:r>
        <w:rPr>
          <w:rFonts w:ascii="Times New Roman" w:hAnsi="Times New Roman" w:cs="Times New Roman" w:eastAsia="Times New Roman"/>
          <w:sz w:val="24"/>
          <w:szCs w:val="24"/>
        </w:rPr>
        <w:t xml:space="preserve">Some checks were not carried out. No one outside the team labelled the findings. We reviewed a stratified sample of classified CROP comments by hand and found no further misclassification, but the reviewer was one of us, so it is not an independent label set. The converters are checked by us, not by a second team, and the SQL cross-check tests the predicate code, not the CROP converter. The activity-ranking numbers are recomputed only by the bootstrap code, which loads the data the same way as the analysis it checks.</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6</w:t>
      </w:r>
    </w:p>
    <w:p>
      <w:pPr>
        <w:keepNext/>
        <w:spacing w:before="0" w:after="240" w:line="276" w:lineRule="auto"/>
        <w:jc w:val="center"/>
        <w:outlineLvl w:val="0"/>
      </w:pPr>
      <w:bookmarkStart w:id="1060" w:name="_Toc_ch6"/>
      <w:r>
        <w:rPr>
          <w:rFonts w:ascii="Times New Roman" w:hAnsi="Times New Roman" w:cs="Times New Roman" w:eastAsia="Times New Roman"/>
          <w:b/>
          <w:bCs/>
          <w:sz w:val="28"/>
          <w:szCs w:val="28"/>
        </w:rPr>
        <w:t xml:space="preserve">PROJECT DEMONSTRATION</w:t>
      </w:r>
      <w:bookmarkEnd w:id="1060"/>
    </w:p>
    <w:p>
      <w:pPr>
        <w:spacing w:before="0" w:after="120" w:line="276" w:lineRule="auto"/>
        <w:jc w:val="both"/>
      </w:pPr>
      <w:r>
        <w:rPr>
          <w:rFonts w:ascii="Times New Roman" w:hAnsi="Times New Roman" w:cs="Times New Roman" w:eastAsia="Times New Roman"/>
          <w:sz w:val="24"/>
          <w:szCs w:val="24"/>
        </w:rPr>
        <w:t xml:space="preserve">The live demonstration runs five commands from the </w:t>
      </w:r>
      <w:r>
        <w:rPr>
          <w:rFonts w:ascii="Courier New" w:hAnsi="Courier New" w:cs="Courier New" w:eastAsia="Courier New"/>
          <w:sz w:val="22"/>
          <w:szCs w:val="22"/>
        </w:rPr>
        <w:t xml:space="preserve">realdata</w:t>
      </w:r>
      <w:r>
        <w:rPr>
          <w:rFonts w:ascii="Times New Roman" w:hAnsi="Times New Roman" w:cs="Times New Roman" w:eastAsia="Times New Roman"/>
          <w:sz w:val="24"/>
          <w:szCs w:val="24"/>
        </w:rPr>
        <w:t xml:space="preserve"> directory. We ran them for this report and saved the output under </w:t>
      </w:r>
      <w:r>
        <w:rPr>
          <w:rFonts w:ascii="Courier New" w:hAnsi="Courier New" w:cs="Courier New" w:eastAsia="Courier New"/>
          <w:sz w:val="22"/>
          <w:szCs w:val="22"/>
        </w:rPr>
        <w:t xml:space="preserve">docs/review-3/demo/</w:t>
      </w:r>
      <w:r>
        <w:rPr>
          <w:rFonts w:ascii="Times New Roman" w:hAnsi="Times New Roman" w:cs="Times New Roman" w:eastAsia="Times New Roman"/>
          <w:sz w:val="24"/>
          <w:szCs w:val="24"/>
        </w:rPr>
        <w:t xml:space="preserve">, so that the same output can be shown if network or hardware issues arise during the review. Table 6.1 lists the steps and the measured times.</w:t>
      </w:r>
    </w:p>
    <w:p>
      <w:pPr>
        <w:keepNext/>
        <w:spacing w:before="160" w:after="80" w:line="240" w:lineRule="auto"/>
        <w:jc w:val="center"/>
      </w:pPr>
      <w:bookmarkStart w:id="1061" w:name="_Tab_6_1"/>
      <w:r>
        <w:rPr>
          <w:rFonts w:ascii="Times New Roman" w:hAnsi="Times New Roman" w:cs="Times New Roman" w:eastAsia="Times New Roman"/>
          <w:b/>
          <w:bCs/>
          <w:sz w:val="20"/>
          <w:szCs w:val="20"/>
        </w:rPr>
        <w:t xml:space="preserve">Table 6.1: </w:t>
      </w:r>
      <w:r>
        <w:rPr>
          <w:rFonts w:ascii="Times New Roman" w:hAnsi="Times New Roman" w:cs="Times New Roman" w:eastAsia="Times New Roman"/>
          <w:sz w:val="20"/>
          <w:szCs w:val="20"/>
        </w:rPr>
        <w:t xml:space="preserve">Demonstration steps</w:t>
      </w:r>
      <w:bookmarkEnd w:id="1061"/>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639"/>
        <w:gridCol w:w="3834"/>
        <w:gridCol w:w="3578"/>
        <w:gridCol w:w="1022"/>
      </w:tblGrid>
      <w:tr>
        <w:trPr>
          <w:cantSplit/>
          <w:tblHeader/>
        </w:trPr>
        <w:tc>
          <w:tcPr>
            <w:tcW w:w="63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Step</w:t>
            </w:r>
          </w:p>
        </w:tc>
        <w:tc>
          <w:tcPr>
            <w:tcW w:w="38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Command</w:t>
            </w:r>
          </w:p>
        </w:tc>
        <w:tc>
          <w:tcPr>
            <w:tcW w:w="35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the panel sees</w:t>
            </w:r>
          </w:p>
        </w:tc>
        <w:tc>
          <w:tcPr>
            <w:tcW w:w="102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Time</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1</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python3 -I src/fetch_sources.py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All eight sources already present; nothing is downloaded again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0.1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src/check_consequence.py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Self-check against the plain-Python version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3.7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src/distortion.py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table for the Enron log</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9.5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src/consequence.py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Rankings, edges, variants and entities for Enron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4.1 s</w:t>
            </w:r>
          </w:p>
        </w:tc>
      </w:tr>
      <w:tr>
        <w:trPr>
          <w:cantSplit/>
        </w:trPr>
        <w:tc>
          <w:tcPr>
            <w:tcW w:w="639" w:type="dxa"/>
            <w:vAlign w:val="center"/>
          </w:tcPr>
          <w:p>
            <w:pPr>
              <w:spacing w:before="0" w:after="0" w:line="240" w:lineRule="auto"/>
              <w:jc w:val="center"/>
            </w:pPr>
            <w:r>
              <w:rPr>
                <w:rFonts w:ascii="Times New Roman" w:hAnsi="Times New Roman" w:cs="Times New Roman" w:eastAsia="Times New Roman"/>
                <w:sz w:val="18"/>
                <w:szCs w:val="18"/>
              </w:rPr>
              <w:t xml:space="preserve">5</w:t>
            </w:r>
          </w:p>
        </w:tc>
        <w:tc>
          <w:tcPr>
            <w:tcW w:w="3834" w:type="dxa"/>
            <w:vAlign w:val="center"/>
          </w:tcPr>
          <w:p>
            <w:pPr>
              <w:spacing w:before="0" w:after="0" w:line="240" w:lineRule="auto"/>
              <w:jc w:val="left"/>
            </w:pPr>
            <w:r>
              <w:rPr>
                <w:rFonts w:ascii="Courier New" w:hAnsi="Courier New" w:cs="Courier New" w:eastAsia="Courier New"/>
                <w:sz w:val="16"/>
                <w:szCs w:val="16"/>
              </w:rPr>
              <w:t xml:space="preserve">head -4 results/consequence_by_log.md</w:t>
            </w:r>
          </w:p>
        </w:tc>
        <w:tc>
          <w:tcPr>
            <w:tcW w:w="3578" w:type="dxa"/>
            <w:vAlign w:val="center"/>
          </w:tcPr>
          <w:p>
            <w:pPr>
              <w:spacing w:before="0" w:after="0" w:line="240" w:lineRule="auto"/>
              <w:jc w:val="left"/>
            </w:pPr>
            <w:r>
              <w:rPr>
                <w:rFonts w:ascii="Times New Roman" w:hAnsi="Times New Roman" w:cs="Times New Roman" w:eastAsia="Times New Roman"/>
                <w:sz w:val="18"/>
                <w:szCs w:val="18"/>
              </w:rPr>
              <w:t xml:space="preserve">The cross-log summary table</w:t>
            </w:r>
          </w:p>
        </w:tc>
        <w:tc>
          <w:tcPr>
            <w:tcW w:w="1022" w:type="dxa"/>
            <w:vAlign w:val="center"/>
          </w:tcPr>
          <w:p>
            <w:pPr>
              <w:spacing w:before="0" w:after="0" w:line="240" w:lineRule="auto"/>
              <w:jc w:val="center"/>
            </w:pPr>
            <w:r>
              <w:rPr>
                <w:rFonts w:ascii="Times New Roman" w:hAnsi="Times New Roman" w:cs="Times New Roman" w:eastAsia="Times New Roman"/>
                <w:sz w:val="18"/>
                <w:szCs w:val="18"/>
              </w:rPr>
              <w:t xml:space="preserve">instant</w:t>
            </w:r>
          </w:p>
        </w:tc>
      </w:tr>
    </w:tbl>
    <w:p>
      <w:pPr>
        <w:spacing w:before="0" w:after="120" w:line="240" w:lineRule="auto"/>
      </w:pPr>
    </w:p>
    <w:p>
      <w:pPr>
        <w:keepNext/>
        <w:spacing w:before="200" w:after="100" w:line="276" w:lineRule="auto"/>
        <w:outlineLvl w:val="1"/>
      </w:pPr>
      <w:bookmarkStart w:id="1062" w:name="_Toc_6_1"/>
      <w:r>
        <w:rPr>
          <w:rFonts w:ascii="Times New Roman" w:hAnsi="Times New Roman" w:cs="Times New Roman" w:eastAsia="Times New Roman"/>
          <w:b/>
          <w:bCs/>
          <w:sz w:val="24"/>
          <w:szCs w:val="24"/>
        </w:rPr>
        <w:t xml:space="preserve">6.1  Step 1: Check that the data is present</w:t>
      </w:r>
      <w:bookmarkEnd w:id="1062"/>
    </w:p>
    <w:p>
      <w:pPr>
        <w:keepNext/>
        <w:spacing w:before="100" w:after="60" w:line="276" w:lineRule="auto"/>
      </w:pPr>
      <w:r>
        <w:rPr>
          <w:rFonts w:ascii="Times New Roman" w:hAnsi="Times New Roman" w:cs="Times New Roman" w:eastAsia="Times New Roman"/>
          <w:b/>
          <w:bCs/>
          <w:sz w:val="24"/>
          <w:szCs w:val="24"/>
        </w:rPr>
        <w:t xml:space="preserve">Command: python3 -I src/fetch_sources.py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[T1e_angular_commits]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[T2a_oulad]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[T2b_moodle_cadiz]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[T3a_crop]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[T4a_bundestag]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[T4b_enron]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[T4c_ethereum]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[T4d_aoe2]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python3 -I src/fetch_sources.py  0.04s user 0.02s system 58% cpu 0.109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manifest lists eight sources, and all of them are already on disk with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so the script skips them. On a clean machine the same command downloads about 350 MB.</w:t>
      </w:r>
    </w:p>
    <w:p>
      <w:pPr>
        <w:keepNext/>
        <w:spacing w:before="200" w:after="100" w:line="276" w:lineRule="auto"/>
        <w:outlineLvl w:val="1"/>
      </w:pPr>
      <w:bookmarkStart w:id="1063" w:name="_Toc_6_2"/>
      <w:r>
        <w:rPr>
          <w:rFonts w:ascii="Times New Roman" w:hAnsi="Times New Roman" w:cs="Times New Roman" w:eastAsia="Times New Roman"/>
          <w:b/>
          <w:bCs/>
          <w:sz w:val="24"/>
          <w:szCs w:val="24"/>
        </w:rPr>
        <w:t xml:space="preserve">6.2  Step 2: Run the self-check</w:t>
      </w:r>
      <w:bookmarkEnd w:id="1063"/>
    </w:p>
    <w:p>
      <w:pPr>
        <w:keepNext/>
        <w:spacing w:before="100" w:after="60" w:line="276" w:lineRule="auto"/>
      </w:pPr>
      <w:r>
        <w:rPr>
          <w:rFonts w:ascii="Times New Roman" w:hAnsi="Times New Roman" w:cs="Times New Roman" w:eastAsia="Times New Roman"/>
          <w:b/>
          <w:bCs/>
          <w:sz w:val="24"/>
          <w:szCs w:val="24"/>
        </w:rPr>
        <w:t xml:space="preserve">Command: .venv/bin/python -I src/check_consequence.py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consequence self-check passed: DF pairs identical for 4 case notions; entity ranking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identical</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src/check_consequence.py  1.70s user 0.41s system 57% cpu 3.664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fast consequence code and a plain-Python version agree on a real Enron slice; the directly-follows pairs are identical for four case notions, and so is the entity ranking.</w:t>
      </w:r>
    </w:p>
    <w:p>
      <w:pPr>
        <w:keepNext/>
        <w:spacing w:before="200" w:after="100" w:line="276" w:lineRule="auto"/>
        <w:outlineLvl w:val="1"/>
      </w:pPr>
      <w:bookmarkStart w:id="1064" w:name="_Toc_6_3"/>
      <w:r>
        <w:rPr>
          <w:rFonts w:ascii="Times New Roman" w:hAnsi="Times New Roman" w:cs="Times New Roman" w:eastAsia="Times New Roman"/>
          <w:b/>
          <w:bCs/>
          <w:sz w:val="24"/>
          <w:szCs w:val="24"/>
        </w:rPr>
        <w:t xml:space="preserve">6.3  Step 3: Distortion of the Enron log</w:t>
      </w:r>
      <w:bookmarkEnd w:id="1064"/>
    </w:p>
    <w:p>
      <w:pPr>
        <w:keepNext/>
        <w:spacing w:before="100" w:after="60" w:line="276" w:lineRule="auto"/>
      </w:pPr>
      <w:r>
        <w:rPr>
          <w:rFonts w:ascii="Times New Roman" w:hAnsi="Times New Roman" w:cs="Times New Roman" w:eastAsia="Times New Roman"/>
          <w:b/>
          <w:bCs/>
          <w:sz w:val="24"/>
          <w:szCs w:val="24"/>
        </w:rPr>
        <w:t xml:space="preserve">Command: .venv/bin/python -I src/distortion.py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e2o/event=3.498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flat[EMAILADDRESS:CC] def=0.778 conv=0.667 copies=  2.114 maxActInfl=  3.286 div=0.769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var/case=0.241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flat[EMAILADDRESS:FROM] def=0.046 conv=0.000 copies=  1.000 maxActInfl=  1.000 div=0.802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var/case=0.2079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flat[EMAILADDRESS:TO] def=0.060 conv=0.334 copies=  1.572 maxActInfl=  2.345 div=0.778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var/case=0.2526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flat[MESSAGEID    ] def=0.401 conv=0.000 copies=  1.000 maxActInfl=  1.000 div=0.715</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var/case=0.0046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EMAILADDRESS:CC cases: 0.81 (mean 6.369)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EMAILADDRESS:FROM objs in &gt;=2 EMAILADDRESS:CC cases: 0.79 (mean 5.277)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EMAILADDRESS:TO cases: 0.75 (mean 5.878)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MESSAGEID cases: 0.69 (mean 11.962)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MESSAGEID objs in &gt;=2 EMAILADDRESS:CC cases: 0.67 (mean 2.173)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MESSAGEID cases: 0.66 (mean 7.222)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src/distortion.py enron  9.18s user 0.29s system 99% cpu 9.502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Four case notions get flattened: the three e-mail roles and the message identifier. With the copied-in recipients as the case (EMAILADDRESS:CC), 77.8% of the events drop out, while the remaining events are copied 2.11 times on average. The message identifier drops 40.1% of the events and copies nothing. The coupling lines show how strongly the cases are interlinked: 81% of the "to" addresses take part in events that belong to two or more different "cc" cases (6.4 on average).</w:t>
      </w:r>
    </w:p>
    <w:p>
      <w:pPr>
        <w:keepNext/>
        <w:spacing w:before="200" w:after="100" w:line="276" w:lineRule="auto"/>
        <w:outlineLvl w:val="1"/>
      </w:pPr>
      <w:bookmarkStart w:id="1065" w:name="_Toc_6_4"/>
      <w:r>
        <w:rPr>
          <w:rFonts w:ascii="Times New Roman" w:hAnsi="Times New Roman" w:cs="Times New Roman" w:eastAsia="Times New Roman"/>
          <w:b/>
          <w:bCs/>
          <w:sz w:val="24"/>
          <w:szCs w:val="24"/>
        </w:rPr>
        <w:t xml:space="preserve">6.4  Step 4: Consequences for the Enron log</w:t>
      </w:r>
      <w:bookmarkEnd w:id="1065"/>
    </w:p>
    <w:p>
      <w:pPr>
        <w:keepNext/>
        <w:spacing w:before="100" w:after="60" w:line="276" w:lineRule="auto"/>
      </w:pPr>
      <w:r>
        <w:rPr>
          <w:rFonts w:ascii="Times New Roman" w:hAnsi="Times New Roman" w:cs="Times New Roman" w:eastAsia="Times New Roman"/>
          <w:b/>
          <w:bCs/>
          <w:sz w:val="24"/>
          <w:szCs w:val="24"/>
        </w:rPr>
        <w:t xml:space="preserve">Command: .venv/bin/python -I src/consequence.py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reference DF pairs=157,258 edge types=48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EMAILADDRESS:CC            act: visible=0.7778 rho(all)=0.8656 rho(dup)=1.0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dup=1.5675 rho(dup)=0.9844 top10(dup)=9 maxInfl10=0.357 spur=None | var/case=0.241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top10cov=0.5653 | entity rho min/med=0.0832/0.473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EMAILADDRESS:FROM          act: visible=1.0 rho(all)=1.0 rho(dup)=1.0 | DF: dup=1.0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maxInfl10=0.669 spur=None | var/case=0.2079 top10cov=0.623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min/med=0.3863/0.962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EMAILADDRESS:TO            act: visible=1.0 rho(all)=0.9333 rho(dup)=0.9333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dup=1.3065 rho(dup)=0.9792 top10(dup)=9 maxInfl10=1.161 spur=None | var/case=0.2526</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top10cov=0.5419 | entity rho min/med=0.1591/0.887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MESSAGEID                  act: visible=1.0 rho(all)=1.0 rho(dup)=1.0 | DF: dup=1.0014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maxInfl10=0.035 spur=None | var/case=0.0046 top10cov=0.9917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min/med=0.8327/0.863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src/consequence.py enron  3.06s user 0.35s system 82% cpu 4.133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Each line is one case notion. For the copied-recipient notion only 77.8% of the activities are visible, and the activity ranking agrees with the whole process at a rank correlation of 0.87. Measured for duplication alone, the correlation is exactly 1.0, so nearly all of that gap is owing to narrowing.</w:t>
      </w:r>
    </w:p>
    <w:p>
      <w:pPr>
        <w:keepNext/>
        <w:spacing w:before="200" w:after="100" w:line="276" w:lineRule="auto"/>
        <w:outlineLvl w:val="1"/>
      </w:pPr>
      <w:bookmarkStart w:id="1066" w:name="_Toc_6_5"/>
      <w:r>
        <w:rPr>
          <w:rFonts w:ascii="Times New Roman" w:hAnsi="Times New Roman" w:cs="Times New Roman" w:eastAsia="Times New Roman"/>
          <w:b/>
          <w:bCs/>
          <w:sz w:val="24"/>
          <w:szCs w:val="24"/>
        </w:rPr>
        <w:t xml:space="preserve">6.5  Step 5: The cross-log summary</w:t>
      </w:r>
      <w:bookmarkEnd w:id="1066"/>
    </w:p>
    <w:p>
      <w:pPr>
        <w:keepNext/>
        <w:spacing w:before="100" w:after="60" w:line="276" w:lineRule="auto"/>
      </w:pPr>
      <w:r>
        <w:rPr>
          <w:rFonts w:ascii="Times New Roman" w:hAnsi="Times New Roman" w:cs="Times New Roman" w:eastAsia="Times New Roman"/>
          <w:b/>
          <w:bCs/>
          <w:sz w:val="24"/>
          <w:szCs w:val="24"/>
        </w:rPr>
        <w:t xml:space="preserve">Command: head -4 results/consequence_by_log.md</w:t>
      </w:r>
    </w:p>
    <w:p>
      <w:pPr>
        <w:spacing w:before="0" w:after="120" w:line="276" w:lineRule="auto"/>
        <w:jc w:val="both"/>
      </w:pPr>
      <w:r>
        <w:rPr>
          <w:rFonts w:ascii="Times New Roman" w:hAnsi="Times New Roman" w:cs="Times New Roman" w:eastAsia="Times New Roman"/>
          <w:sz w:val="24"/>
          <w:szCs w:val="24"/>
        </w:rPr>
        <w:t xml:space="preserve">The command prints a Markdown table with one row per log; the lines are too wide for a printed page, so we do not copy them here. The saved output is in </w:t>
      </w:r>
      <w:r>
        <w:rPr>
          <w:rFonts w:ascii="Courier New" w:hAnsi="Courier New" w:cs="Courier New" w:eastAsia="Courier New"/>
          <w:sz w:val="22"/>
          <w:szCs w:val="22"/>
        </w:rPr>
        <w:t xml:space="preserve">docs/review-3/demo/5_table.txt</w:t>
      </w:r>
      <w:r>
        <w:rPr>
          <w:rFonts w:ascii="Times New Roman" w:hAnsi="Times New Roman" w:cs="Times New Roman" w:eastAsia="Times New Roman"/>
          <w:sz w:val="24"/>
          <w:szCs w:val="24"/>
        </w:rPr>
        <w:t xml:space="preserve">, and Table 7.3 in Chapter 7 shows the same numbers.</w:t>
      </w:r>
    </w:p>
    <w:p>
      <w:pPr>
        <w:spacing w:before="0" w:after="120" w:line="276" w:lineRule="auto"/>
        <w:jc w:val="both"/>
      </w:pP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re-runs everything. When we ran it for this report it finished without error in 6 minutes 6 seconds and left every tracked result file unchanged (checked with Git).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7</w:t>
      </w:r>
    </w:p>
    <w:p>
      <w:pPr>
        <w:keepNext/>
        <w:spacing w:before="0" w:after="240" w:line="276" w:lineRule="auto"/>
        <w:jc w:val="center"/>
        <w:outlineLvl w:val="0"/>
      </w:pPr>
      <w:bookmarkStart w:id="1067" w:name="_Toc_ch7"/>
      <w:r>
        <w:rPr>
          <w:rFonts w:ascii="Times New Roman" w:hAnsi="Times New Roman" w:cs="Times New Roman" w:eastAsia="Times New Roman"/>
          <w:b/>
          <w:bCs/>
          <w:sz w:val="28"/>
          <w:szCs w:val="28"/>
        </w:rPr>
        <w:t xml:space="preserve">RESULT AND DISCUSSION</w:t>
      </w:r>
      <w:bookmarkEnd w:id="1067"/>
    </w:p>
    <w:p>
      <w:pPr>
        <w:spacing w:before="0" w:after="120" w:line="276" w:lineRule="auto"/>
        <w:jc w:val="both"/>
      </w:pPr>
      <w:r>
        <w:rPr>
          <w:rFonts w:ascii="Times New Roman" w:hAnsi="Times New Roman" w:cs="Times New Roman" w:eastAsia="Times New Roman"/>
          <w:sz w:val="24"/>
          <w:szCs w:val="24"/>
        </w:rPr>
        <w:t xml:space="preserve">Every number in this chapter comes from the files in </w:t>
      </w:r>
      <w:r>
        <w:rPr>
          <w:rFonts w:ascii="Courier New" w:hAnsi="Courier New" w:cs="Courier New" w:eastAsia="Courier New"/>
          <w:sz w:val="22"/>
          <w:szCs w:val="22"/>
        </w:rPr>
        <w:t xml:space="preserve">realdata/results</w:t>
      </w:r>
      <w:r>
        <w:rPr>
          <w:rFonts w:ascii="Times New Roman" w:hAnsi="Times New Roman" w:cs="Times New Roman" w:eastAsia="Times New Roman"/>
          <w:sz w:val="24"/>
          <w:szCs w:val="24"/>
        </w:rPr>
        <w:t xml:space="preserve"> and regenerates with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these are measurements on seven real public logs, so they say nothing about the capstone portal.</w:t>
      </w:r>
    </w:p>
    <w:p>
      <w:pPr>
        <w:keepNext/>
        <w:spacing w:before="200" w:after="100" w:line="276" w:lineRule="auto"/>
        <w:outlineLvl w:val="1"/>
      </w:pPr>
      <w:bookmarkStart w:id="1068" w:name="_Toc_7_1"/>
      <w:r>
        <w:rPr>
          <w:rFonts w:ascii="Times New Roman" w:hAnsi="Times New Roman" w:cs="Times New Roman" w:eastAsia="Times New Roman"/>
          <w:b/>
          <w:bCs/>
          <w:sz w:val="24"/>
          <w:szCs w:val="24"/>
        </w:rPr>
        <w:t xml:space="preserve">7.1  The Seven Logs</w:t>
      </w:r>
      <w:bookmarkEnd w:id="1068"/>
    </w:p>
    <w:p>
      <w:pPr>
        <w:keepNext/>
        <w:spacing w:before="160" w:after="80" w:line="240" w:lineRule="auto"/>
        <w:jc w:val="center"/>
      </w:pPr>
      <w:bookmarkStart w:id="1069" w:name="_Tab_7_1"/>
      <w:r>
        <w:rPr>
          <w:rFonts w:ascii="Times New Roman" w:hAnsi="Times New Roman" w:cs="Times New Roman" w:eastAsia="Times New Roman"/>
          <w:b/>
          <w:bCs/>
          <w:sz w:val="20"/>
          <w:szCs w:val="20"/>
        </w:rPr>
        <w:t xml:space="preserve">Table 7.1: </w:t>
      </w:r>
      <w:r>
        <w:rPr>
          <w:rFonts w:ascii="Times New Roman" w:hAnsi="Times New Roman" w:cs="Times New Roman" w:eastAsia="Times New Roman"/>
          <w:sz w:val="20"/>
          <w:szCs w:val="20"/>
        </w:rPr>
        <w:t xml:space="preserve">Profile of the seven logs</w:t>
      </w:r>
      <w:bookmarkEnd w:id="1069"/>
    </w:p>
    <w:tbl>
      <w:tblPr>
        <w:tblW w:w="907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84"/>
        <w:gridCol w:w="1594"/>
        <w:gridCol w:w="1103"/>
        <w:gridCol w:w="1103"/>
        <w:gridCol w:w="981"/>
        <w:gridCol w:w="1103"/>
        <w:gridCol w:w="1103"/>
      </w:tblGrid>
      <w:tr>
        <w:trPr>
          <w:cantSplit/>
          <w:tblHeader/>
        </w:trPr>
        <w:tc>
          <w:tcPr>
            <w:tcW w:w="208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Log</w:t>
            </w:r>
          </w:p>
        </w:tc>
        <w:tc>
          <w:tcPr>
            <w:tcW w:w="15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Domain</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Events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w:t>
            </w:r>
          </w:p>
        </w:tc>
        <w:tc>
          <w:tcPr>
            <w:tcW w:w="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 types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 per event</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Analysed case notions</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CROP (Gerrit)</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Code review</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306,716</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55,323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OULAD</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Education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216,532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61,577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3.8</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German Bundestag</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Legislation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62,719</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37,665</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1.1</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9</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Age of Empires II</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Game play</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34,860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5,054</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4.3</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11</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Ethereum (window)</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Blockchain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300,000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17,773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1.6</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Angular commits</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 commits</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27,842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28,317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88.0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r>
      <w:tr>
        <w:trPr>
          <w:cantSplit/>
        </w:trPr>
        <w:tc>
          <w:tcPr>
            <w:tcW w:w="2084" w:type="dxa"/>
            <w:vAlign w:val="center"/>
          </w:tcPr>
          <w:p>
            <w:pPr>
              <w:spacing w:before="0" w:after="0" w:line="240" w:lineRule="auto"/>
              <w:jc w:val="left"/>
            </w:pPr>
            <w:r>
              <w:rPr>
                <w:rFonts w:ascii="Times New Roman" w:hAnsi="Times New Roman" w:cs="Times New Roman" w:eastAsia="Times New Roman"/>
                <w:sz w:val="18"/>
                <w:szCs w:val="18"/>
              </w:rPr>
              <w:t xml:space="preserve">Enron e-mail</w:t>
            </w:r>
          </w:p>
        </w:tc>
        <w:tc>
          <w:tcPr>
            <w:tcW w:w="1594" w:type="dxa"/>
            <w:vAlign w:val="center"/>
          </w:tcPr>
          <w:p>
            <w:pPr>
              <w:spacing w:before="0" w:after="0" w:line="240" w:lineRule="auto"/>
              <w:jc w:val="left"/>
            </w:pPr>
            <w:r>
              <w:rPr>
                <w:rFonts w:ascii="Times New Roman" w:hAnsi="Times New Roman" w:cs="Times New Roman" w:eastAsia="Times New Roman"/>
                <w:sz w:val="18"/>
                <w:szCs w:val="18"/>
              </w:rPr>
              <w:t xml:space="preserve">E-mail</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96,175</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70,541</w:t>
            </w:r>
          </w:p>
        </w:tc>
        <w:tc>
          <w:tcPr>
            <w:tcW w:w="981"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3.5</w:t>
            </w:r>
          </w:p>
        </w:tc>
        <w:tc>
          <w:tcPr>
            <w:tcW w:w="1103"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cover code review, education, legislation, e-mail, blockchain and game play, which gives 38 analysed case notions. The Ethereum figures are for a contiguous window of 300,000 events from a log with 3.2 million.</w:t>
      </w:r>
    </w:p>
    <w:p>
      <w:pPr>
        <w:keepNext/>
        <w:spacing w:before="200" w:after="100" w:line="276" w:lineRule="auto"/>
        <w:outlineLvl w:val="1"/>
      </w:pPr>
      <w:bookmarkStart w:id="1070" w:name="_Toc_7_2"/>
      <w:r>
        <w:rPr>
          <w:rFonts w:ascii="Times New Roman" w:hAnsi="Times New Roman" w:cs="Times New Roman" w:eastAsia="Times New Roman"/>
          <w:b/>
          <w:bCs/>
          <w:sz w:val="24"/>
          <w:szCs w:val="24"/>
        </w:rPr>
        <w:t xml:space="preserve">7.2  Distortion by Flattening</w:t>
      </w:r>
      <w:bookmarkEnd w:id="1070"/>
    </w:p>
    <w:p>
      <w:pPr>
        <w:keepNext/>
        <w:spacing w:before="160" w:after="80" w:line="240" w:lineRule="auto"/>
        <w:jc w:val="center"/>
      </w:pPr>
      <w:bookmarkStart w:id="1071" w:name="_Tab_7_2"/>
      <w:r>
        <w:rPr>
          <w:rFonts w:ascii="Times New Roman" w:hAnsi="Times New Roman" w:cs="Times New Roman" w:eastAsia="Times New Roman"/>
          <w:b/>
          <w:bCs/>
          <w:sz w:val="20"/>
          <w:szCs w:val="20"/>
        </w:rPr>
        <w:t xml:space="preserve">Table 7.2: </w:t>
      </w:r>
      <w:r>
        <w:rPr>
          <w:rFonts w:ascii="Times New Roman" w:hAnsi="Times New Roman" w:cs="Times New Roman" w:eastAsia="Times New Roman"/>
          <w:sz w:val="20"/>
          <w:szCs w:val="20"/>
        </w:rPr>
        <w:t xml:space="preserve">Flattening distortion per log (analysed case notions)</w:t>
      </w:r>
      <w:bookmarkEnd w:id="1071"/>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4"/>
        <w:gridCol w:w="1243"/>
        <w:gridCol w:w="1243"/>
        <w:gridCol w:w="1118"/>
        <w:gridCol w:w="1118"/>
        <w:gridCol w:w="1243"/>
        <w:gridCol w:w="1243"/>
      </w:tblGrid>
      <w:tr>
        <w:trPr>
          <w:cantSplit/>
          <w:tblHeader/>
        </w:trPr>
        <w:tc>
          <w:tcPr>
            <w:tcW w:w="18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Log</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Regime</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share of events dropped</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copies per event</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Largest copies per event</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Notions with over 5% duplication</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Type pairs sharing 50% or more</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CROP (Gerrit)</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3</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6</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OULAD</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4</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7 of 12</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German Bundestag</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90.8%</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1.27</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13</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Age of Empires II</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86.3%</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1.76</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11</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50 of 137</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Ethereum (window)</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68.9%</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1.04</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10 of 20</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Angular commits</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44.06</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81.65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r>
      <w:tr>
        <w:trPr>
          <w:cantSplit/>
        </w:trPr>
        <w:tc>
          <w:tcPr>
            <w:tcW w:w="1864" w:type="dxa"/>
            <w:vAlign w:val="center"/>
          </w:tcPr>
          <w:p>
            <w:pPr>
              <w:spacing w:before="0" w:after="0" w:line="240" w:lineRule="auto"/>
              <w:jc w:val="left"/>
            </w:pPr>
            <w:r>
              <w:rPr>
                <w:rFonts w:ascii="Times New Roman" w:hAnsi="Times New Roman" w:cs="Times New Roman" w:eastAsia="Times New Roman"/>
                <w:sz w:val="17"/>
                <w:szCs w:val="17"/>
              </w:rPr>
              <w:t xml:space="preserve">Enron e-mail</w:t>
            </w:r>
          </w:p>
        </w:tc>
        <w:tc>
          <w:tcPr>
            <w:tcW w:w="1243" w:type="dxa"/>
            <w:vAlign w:val="center"/>
          </w:tcPr>
          <w:p>
            <w:pPr>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spacing w:before="0" w:after="0" w:line="240" w:lineRule="auto"/>
              <w:jc w:val="right"/>
            </w:pPr>
            <w:r>
              <w:rPr>
                <w:rFonts w:ascii="Times New Roman" w:hAnsi="Times New Roman" w:cs="Times New Roman" w:eastAsia="Times New Roman"/>
                <w:sz w:val="17"/>
                <w:szCs w:val="17"/>
              </w:rPr>
              <w:t xml:space="preserve">23.1%</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1.29</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2.11</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2 of 4</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8 of 12</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fall into three groups, laid out in Figure 7.1.</w:t>
      </w:r>
    </w:p>
    <w:p>
      <w:pPr>
        <w:spacing w:before="0" w:after="120" w:line="276" w:lineRule="auto"/>
        <w:jc w:val="both"/>
      </w:pPr>
      <w:r>
        <w:rPr>
          <w:rFonts w:ascii="Times New Roman" w:hAnsi="Times New Roman" w:cs="Times New Roman" w:eastAsia="Times New Roman"/>
          <w:sz w:val="24"/>
          <w:szCs w:val="24"/>
        </w:rPr>
        <w:t xml:space="preserve">In the star logs (CROP and OULAD) every event touches exactly one object of each type. Flattening copies nothing (1.00 copies per event) and, in the median, drops nothing; on these two measures the distortion is zero.</w:t>
      </w:r>
    </w:p>
    <w:p>
      <w:pPr>
        <w:spacing w:before="0" w:after="120" w:line="276" w:lineRule="auto"/>
        <w:jc w:val="both"/>
      </w:pPr>
      <w:r>
        <w:rPr>
          <w:rFonts w:ascii="Times New Roman" w:hAnsi="Times New Roman" w:cs="Times New Roman" w:eastAsia="Times New Roman"/>
          <w:sz w:val="24"/>
          <w:szCs w:val="24"/>
        </w:rPr>
        <w:t xml:space="preserve">The partitioned logs (Bundestag, Age of Empires II, Ethereum) copy little, at most 1.27, 1.76 and 1.09 copies per event. Yet different object types cover different parts of the log, so the median case notion drops between 69% and 91% of the events.</w:t>
      </w:r>
    </w:p>
    <w:p>
      <w:pPr>
        <w:spacing w:before="0" w:after="120" w:line="276" w:lineRule="auto"/>
        <w:jc w:val="both"/>
      </w:pPr>
      <w:r>
        <w:rPr>
          <w:rFonts w:ascii="Times New Roman" w:hAnsi="Times New Roman" w:cs="Times New Roman" w:eastAsia="Times New Roman"/>
          <w:sz w:val="24"/>
          <w:szCs w:val="24"/>
        </w:rPr>
        <w:t xml:space="preserve">In the fan-out logs (Angular commits and Enron) one event relates to many objects of the same type. The largest duplication is 81.65 copies per event in Angular (the branch case notion) and 2.11 in Enron.</w:t>
      </w:r>
    </w:p>
    <w:p>
      <w:pPr>
        <w:keepNext/>
        <w:spacing w:before="120" w:after="60" w:line="240" w:lineRule="auto"/>
        <w:jc w:val="center"/>
      </w:pPr>
      <w:r>
        <w:drawing>
          <wp:inline distT="0" distB="0" distL="0" distR="0">
            <wp:extent cx="5120640" cy="3085513"/>
            <wp:docPr id="509" name="Figure 7.1" descr="Duplication and dropped events for the seven logs, by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regimes.png"/>
                    <pic:cNvPicPr/>
                  </pic:nvPicPr>
                  <pic:blipFill>
                    <a:blip r:embed="rIdImg9"/>
                    <a:stretch>
                      <a:fillRect/>
                    </a:stretch>
                  </pic:blipFill>
                  <pic:spPr>
                    <a:xfrm>
                      <a:off x="0" y="0"/>
                      <a:ext cx="5120640" cy="3085513"/>
                    </a:xfrm>
                    <a:prstGeom prst="rect">
                      <a:avLst/>
                    </a:prstGeom>
                  </pic:spPr>
                </pic:pic>
              </a:graphicData>
            </a:graphic>
          </wp:inline>
        </w:drawing>
      </w:r>
    </w:p>
    <w:p>
      <w:pPr>
        <w:spacing w:before="0" w:after="200" w:line="240" w:lineRule="auto"/>
        <w:jc w:val="center"/>
      </w:pPr>
      <w:bookmarkStart w:id="1072" w:name="_Fig_7_1"/>
      <w:r>
        <w:rPr>
          <w:rFonts w:ascii="Times New Roman" w:hAnsi="Times New Roman" w:cs="Times New Roman" w:eastAsia="Times New Roman"/>
          <w:b/>
          <w:bCs/>
          <w:sz w:val="20"/>
          <w:szCs w:val="20"/>
        </w:rPr>
        <w:t xml:space="preserve">Figure 7.1: </w:t>
      </w:r>
      <w:r>
        <w:rPr>
          <w:rFonts w:ascii="Times New Roman" w:hAnsi="Times New Roman" w:cs="Times New Roman" w:eastAsia="Times New Roman"/>
          <w:sz w:val="20"/>
          <w:szCs w:val="20"/>
        </w:rPr>
        <w:t xml:space="preserve">Duplication and dropped events for the seven logs, by regime</w:t>
      </w:r>
      <w:bookmarkEnd w:id="1072"/>
    </w:p>
    <w:p>
      <w:pPr>
        <w:spacing w:before="0" w:after="120" w:line="276" w:lineRule="auto"/>
        <w:jc w:val="both"/>
      </w:pPr>
      <w:r>
        <w:rPr>
          <w:rFonts w:ascii="Times New Roman" w:hAnsi="Times New Roman" w:cs="Times New Roman" w:eastAsia="Times New Roman"/>
          <w:sz w:val="24"/>
          <w:szCs w:val="24"/>
        </w:rPr>
        <w:t xml:space="preserve">Coupling adds a second perspective. Figure 7.2 shows the share of object-type pairs where the objects of one type are shared across the cases of the other. In every log except the Bundestag and Age of Empires, at least half the type pairs share more than half of their objects, and in Angular both of the two pairs do.</w:t>
      </w:r>
    </w:p>
    <w:p>
      <w:pPr>
        <w:keepNext/>
        <w:spacing w:before="120" w:after="60" w:line="240" w:lineRule="auto"/>
        <w:jc w:val="center"/>
      </w:pPr>
      <w:r>
        <w:drawing>
          <wp:inline distT="0" distB="0" distL="0" distR="0">
            <wp:extent cx="4937760" cy="2674620"/>
            <wp:docPr id="510" name="Figure 7.2" descr="Object-type pairs that share more than half of their objects across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coupling.png"/>
                    <pic:cNvPicPr/>
                  </pic:nvPicPr>
                  <pic:blipFill>
                    <a:blip r:embed="rIdImg10"/>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3" w:name="_Fig_7_2"/>
      <w:r>
        <w:rPr>
          <w:rFonts w:ascii="Times New Roman" w:hAnsi="Times New Roman" w:cs="Times New Roman" w:eastAsia="Times New Roman"/>
          <w:b/>
          <w:bCs/>
          <w:sz w:val="20"/>
          <w:szCs w:val="20"/>
        </w:rPr>
        <w:t xml:space="preserve">Figure 7.2: </w:t>
      </w:r>
      <w:r>
        <w:rPr>
          <w:rFonts w:ascii="Times New Roman" w:hAnsi="Times New Roman" w:cs="Times New Roman" w:eastAsia="Times New Roman"/>
          <w:sz w:val="20"/>
          <w:szCs w:val="20"/>
        </w:rPr>
        <w:t xml:space="preserve">Object-type pairs that share more than half of their objects across cases</w:t>
      </w:r>
      <w:bookmarkEnd w:id="1073"/>
    </w:p>
    <w:p>
      <w:pPr>
        <w:keepNext/>
        <w:spacing w:before="200" w:after="100" w:line="276" w:lineRule="auto"/>
        <w:outlineLvl w:val="1"/>
      </w:pPr>
      <w:bookmarkStart w:id="1074" w:name="_Toc_7_3"/>
      <w:r>
        <w:rPr>
          <w:rFonts w:ascii="Times New Roman" w:hAnsi="Times New Roman" w:cs="Times New Roman" w:eastAsia="Times New Roman"/>
          <w:b/>
          <w:bCs/>
          <w:sz w:val="24"/>
          <w:szCs w:val="24"/>
        </w:rPr>
        <w:t xml:space="preserve">7.3  Consequences for Standard Outputs</w:t>
      </w:r>
      <w:bookmarkEnd w:id="1074"/>
    </w:p>
    <w:p>
      <w:pPr>
        <w:keepNext/>
        <w:spacing w:before="160" w:after="80" w:line="240" w:lineRule="auto"/>
        <w:jc w:val="center"/>
      </w:pPr>
      <w:bookmarkStart w:id="1075" w:name="_Tab_7_3"/>
      <w:r>
        <w:rPr>
          <w:rFonts w:ascii="Times New Roman" w:hAnsi="Times New Roman" w:cs="Times New Roman" w:eastAsia="Times New Roman"/>
          <w:b/>
          <w:bCs/>
          <w:sz w:val="20"/>
          <w:szCs w:val="20"/>
        </w:rPr>
        <w:t xml:space="preserve">Table 7.3: </w:t>
      </w:r>
      <w:r>
        <w:rPr>
          <w:rFonts w:ascii="Times New Roman" w:hAnsi="Times New Roman" w:cs="Times New Roman" w:eastAsia="Times New Roman"/>
          <w:sz w:val="20"/>
          <w:szCs w:val="20"/>
        </w:rPr>
        <w:t xml:space="preserve">Consequences of flattening per log</w:t>
      </w:r>
      <w:bookmarkEnd w:id="1075"/>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764"/>
        <w:gridCol w:w="882"/>
        <w:gridCol w:w="1134"/>
        <w:gridCol w:w="1890"/>
        <w:gridCol w:w="1134"/>
        <w:gridCol w:w="1134"/>
        <w:gridCol w:w="1134"/>
      </w:tblGrid>
      <w:tr>
        <w:trPr>
          <w:cantSplit/>
          <w:tblHeader/>
        </w:trPr>
        <w:tc>
          <w:tcPr>
            <w:tcW w:w="17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Log</w:t>
            </w:r>
          </w:p>
        </w:tc>
        <w:tc>
          <w:tcPr>
            <w:tcW w:w="88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Notions</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Activities visible (median)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Activity rank correlation, whole process (median / lowest)</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duplication only</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Largest edge duplication</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entity-rank correlation</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CROP (Gerrit)</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3</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OULAD</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0.87</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German Bundestag</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0.17 / 0.00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1.26</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0.34</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Age of Empires II</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11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0.12</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0.21 / -0.05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1.69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-0.41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Ethereum (window)</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0.79</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0.64 / 0.02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-0.01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Angular commits</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0.88 / 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74.05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0.88</w:t>
            </w:r>
          </w:p>
        </w:tc>
      </w:tr>
      <w:tr>
        <w:trPr>
          <w:cantSplit/>
        </w:trPr>
        <w:tc>
          <w:tcPr>
            <w:tcW w:w="1764" w:type="dxa"/>
            <w:vAlign w:val="center"/>
          </w:tcPr>
          <w:p>
            <w:pPr>
              <w:spacing w:before="0" w:after="0" w:line="240" w:lineRule="auto"/>
              <w:jc w:val="left"/>
            </w:pPr>
            <w:r>
              <w:rPr>
                <w:rFonts w:ascii="Times New Roman" w:hAnsi="Times New Roman" w:cs="Times New Roman" w:eastAsia="Times New Roman"/>
                <w:sz w:val="16"/>
                <w:szCs w:val="16"/>
              </w:rPr>
              <w:t xml:space="preserve">Enron e-mail</w:t>
            </w:r>
          </w:p>
        </w:tc>
        <w:tc>
          <w:tcPr>
            <w:tcW w:w="882" w:type="dxa"/>
            <w:vAlign w:val="center"/>
          </w:tcPr>
          <w:p>
            <w:pPr>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spacing w:before="0" w:after="0" w:line="240" w:lineRule="auto"/>
              <w:jc w:val="center"/>
            </w:pPr>
            <w:r>
              <w:rPr>
                <w:rFonts w:ascii="Times New Roman" w:hAnsi="Times New Roman" w:cs="Times New Roman" w:eastAsia="Times New Roman"/>
                <w:sz w:val="16"/>
                <w:szCs w:val="16"/>
              </w:rPr>
              <w:t xml:space="preserve">0.97 / 0.87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0.93</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1.57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0.16</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Three findings follow from this table.</w:t>
      </w:r>
    </w:p>
    <w:p>
      <w:pPr>
        <w:spacing w:before="0" w:after="120" w:line="276" w:lineRule="auto"/>
        <w:jc w:val="both"/>
      </w:pPr>
      <w:r>
        <w:rPr>
          <w:rFonts w:ascii="Times New Roman" w:hAnsi="Times New Roman" w:cs="Times New Roman" w:eastAsia="Times New Roman"/>
          <w:sz w:val="24"/>
          <w:szCs w:val="24"/>
        </w:rPr>
        <w:t xml:space="preserve">First, duplication alone rarely changes a ranking. When the activity ranking from flat rows is compared with the ranking of the same events counted once, only 2 of the 38 case notions fall below a rank correlation of 0.95 (bootstrap interval 1 to 3): Angular files (0.81, interval 0.66 to 0.90) and the Enron "to" role (0.93). The Enron value is less certain: with only nine activities, its interval runs from 0.53 to 1.00. Where a log has no duplication, as in the star logs, the correlation is exactly 1.0.</w:t>
      </w:r>
    </w:p>
    <w:p>
      <w:pPr>
        <w:spacing w:before="0" w:after="120" w:line="276" w:lineRule="auto"/>
        <w:jc w:val="both"/>
      </w:pPr>
      <w:r>
        <w:rPr>
          <w:rFonts w:ascii="Times New Roman" w:hAnsi="Times New Roman" w:cs="Times New Roman" w:eastAsia="Times New Roman"/>
          <w:sz w:val="24"/>
          <w:szCs w:val="24"/>
        </w:rPr>
        <w:t xml:space="preserve">Second, narrowing is the bigger effect. In 20 of the 38 case notions the flat log shows fewer than half of the activities of the whole process. The activity rank correlation with the whole process has a median of only 0.17 in the Bundestag (interval 0.14 to 0.29) and 0.21 in Age of Empires II (0.15 to 0.29). A flat view of those logs is therefore not a distorted picture of the whole process but a small part of it.</w:t>
      </w:r>
    </w:p>
    <w:p>
      <w:pPr>
        <w:spacing w:before="0" w:after="120" w:line="276" w:lineRule="auto"/>
        <w:jc w:val="both"/>
      </w:pPr>
      <w:r>
        <w:rPr>
          <w:rFonts w:ascii="Times New Roman" w:hAnsi="Times New Roman" w:cs="Times New Roman" w:eastAsia="Times New Roman"/>
          <w:sz w:val="24"/>
          <w:szCs w:val="24"/>
        </w:rPr>
        <w:t xml:space="preserve">Much of this narrowing is structural. Eighteen of the 20 narrowed case notions come from the Bundestag and Age of Empires II, where an object type such as a written parliamentary question or a farm is in effect a sub-process of its own, and a farm cannot be expected to see the rest of the game. We therefore also inspected the case notions an analyst would plausibly choose. Fifteen of them cover at least half of their log, and 2 of those are still narrowed. Villager, in Age of Empires II, covers 52.8% of the events but shows 17% of the activities. OULAD's Assessment case notion covers 80% of the events and shows one activity in three: every submission is present, while every registration and withdrawal is lost. More importantly, two logs have no plausible case notion at all: the widest case notion covers 32.8% of the Bundestag events (and 3% of its 148 activities) and 37.4% of the Ethereum window. In the other five logs the widest case notion covers at least 95% of the events.</w:t>
      </w:r>
    </w:p>
    <w:p>
      <w:pPr>
        <w:spacing w:before="0" w:after="120" w:line="276" w:lineRule="auto"/>
        <w:jc w:val="both"/>
      </w:pPr>
      <w:r>
        <w:rPr>
          <w:rFonts w:ascii="Times New Roman" w:hAnsi="Times New Roman" w:cs="Times New Roman" w:eastAsia="Times New Roman"/>
          <w:sz w:val="24"/>
          <w:szCs w:val="24"/>
        </w:rPr>
        <w:t xml:space="preserve">These counts do not depend on a single threshold. With the narrowing threshold at 0.3, 0.4, 0.5, 0.6 and 0.7, the number of narrowed case notions is 17, 18, 20, 20 and 20. With the coverage threshold at 30% to 70%, there are 21, 16, 15, 13 and 13 plausible case notions, of which 5, 3, 2, 1 and 1 are narrowed, and OULAD Assessment is narrowed every time. Raising the 1,000-event cut-off to 2,000 or 5,000 leaves 15 of 33 and 10 of 28 narrowed, and in all 200 bootstrap replicates the counts remain at 20 narrowed, 15 plausible and 2 both.</w:t>
      </w:r>
    </w:p>
    <w:p>
      <w:pPr>
        <w:keepNext/>
        <w:spacing w:before="120" w:after="60" w:line="240" w:lineRule="auto"/>
        <w:jc w:val="center"/>
      </w:pPr>
      <w:r>
        <w:drawing>
          <wp:inline distT="0" distB="0" distL="0" distR="0">
            <wp:extent cx="5120640" cy="3200400"/>
            <wp:docPr id="511" name="Figure 7.3" descr="Activity ranking agreement: duplication alone versus the whol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rank_activity.png"/>
                    <pic:cNvPicPr/>
                  </pic:nvPicPr>
                  <pic:blipFill>
                    <a:blip r:embed="rIdImg11"/>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6" w:name="_Fig_7_3"/>
      <w:r>
        <w:rPr>
          <w:rFonts w:ascii="Times New Roman" w:hAnsi="Times New Roman" w:cs="Times New Roman" w:eastAsia="Times New Roman"/>
          <w:b/>
          <w:bCs/>
          <w:sz w:val="20"/>
          <w:szCs w:val="20"/>
        </w:rPr>
        <w:t xml:space="preserve">Figure 7.3: </w:t>
      </w:r>
      <w:r>
        <w:rPr>
          <w:rFonts w:ascii="Times New Roman" w:hAnsi="Times New Roman" w:cs="Times New Roman" w:eastAsia="Times New Roman"/>
          <w:sz w:val="20"/>
          <w:szCs w:val="20"/>
        </w:rPr>
        <w:t xml:space="preserve">Activity ranking agreement: duplication alone versus the whole process</w:t>
      </w:r>
      <w:bookmarkEnd w:id="1076"/>
    </w:p>
    <w:p>
      <w:pPr>
        <w:spacing w:before="0" w:after="120" w:line="276" w:lineRule="auto"/>
        <w:jc w:val="both"/>
      </w:pPr>
      <w:r>
        <w:rPr>
          <w:rFonts w:ascii="Times New Roman" w:hAnsi="Times New Roman" w:cs="Times New Roman" w:eastAsia="Times New Roman"/>
          <w:sz w:val="24"/>
          <w:szCs w:val="24"/>
        </w:rPr>
        <w:t xml:space="preserve">Third, careless counting can mislead. Suppose an analyst ranks entities (people, as an illustration) by counting rows in a denormalised flat export. Among the entities that appear in the export, the worst-case rank correlations with the true number of events per entity are 0.16 in Enron (interval 0.14 to 0.18), -0.01 in Ethereum (-0.03 to 0.02) and -0.41 in Age of Empires II (-0.67 to -0.26). An analyst who de-duplicates on the event identifier would avoid this, so this result is a warning about careless counting rather than an unavoidable loss.</w:t>
      </w:r>
    </w:p>
    <w:p>
      <w:pPr>
        <w:keepNext/>
        <w:spacing w:before="120" w:after="60" w:line="240" w:lineRule="auto"/>
        <w:jc w:val="center"/>
      </w:pPr>
      <w:r>
        <w:drawing>
          <wp:inline distT="0" distB="0" distL="0" distR="0">
            <wp:extent cx="5120640" cy="3200400"/>
            <wp:docPr id="512" name="Figure 7.4" descr="Entity ranking agreement from a denormalised flat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rank_entity.png"/>
                    <pic:cNvPicPr/>
                  </pic:nvPicPr>
                  <pic:blipFill>
                    <a:blip r:embed="rIdImg12"/>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7" w:name="_Fig_7_4"/>
      <w:r>
        <w:rPr>
          <w:rFonts w:ascii="Times New Roman" w:hAnsi="Times New Roman" w:cs="Times New Roman" w:eastAsia="Times New Roman"/>
          <w:b/>
          <w:bCs/>
          <w:sz w:val="20"/>
          <w:szCs w:val="20"/>
        </w:rPr>
        <w:t xml:space="preserve">Figure 7.4: </w:t>
      </w:r>
      <w:r>
        <w:rPr>
          <w:rFonts w:ascii="Times New Roman" w:hAnsi="Times New Roman" w:cs="Times New Roman" w:eastAsia="Times New Roman"/>
          <w:sz w:val="20"/>
          <w:szCs w:val="20"/>
        </w:rPr>
        <w:t xml:space="preserve">Entity ranking agreement from a denormalised flat export</w:t>
      </w:r>
      <w:bookmarkEnd w:id="1077"/>
    </w:p>
    <w:p>
      <w:pPr>
        <w:spacing w:before="0" w:after="120" w:line="276" w:lineRule="auto"/>
        <w:jc w:val="both"/>
      </w:pPr>
      <w:r>
        <w:rPr>
          <w:rFonts w:ascii="Times New Roman" w:hAnsi="Times New Roman" w:cs="Times New Roman" w:eastAsia="Times New Roman"/>
          <w:sz w:val="24"/>
          <w:szCs w:val="24"/>
        </w:rPr>
        <w:t xml:space="preserve">Directly-follows edges show a smaller but measurable effect. Angular has the largest duplication of event pairs (74 copies for the branch case notion). Where nested children exist, some flat edges join events that are adjacent in the flat log but unrelated in the data; these spurious edges account for at most 27.7% in Age of Empires II and 16.6% in OULAD.</w:t>
      </w:r>
    </w:p>
    <w:p>
      <w:pPr>
        <w:keepNext/>
        <w:spacing w:before="120" w:after="60" w:line="240" w:lineRule="auto"/>
        <w:jc w:val="center"/>
      </w:pPr>
      <w:r>
        <w:drawing>
          <wp:inline distT="0" distB="0" distL="0" distR="0">
            <wp:extent cx="4937760" cy="2674620"/>
            <wp:docPr id="513" name="Figure 7.5" descr="Spurious directly-follows edges, worst case notion per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spurious.png"/>
                    <pic:cNvPicPr/>
                  </pic:nvPicPr>
                  <pic:blipFill>
                    <a:blip r:embed="rIdImg13"/>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8" w:name="_Fig_7_5"/>
      <w:r>
        <w:rPr>
          <w:rFonts w:ascii="Times New Roman" w:hAnsi="Times New Roman" w:cs="Times New Roman" w:eastAsia="Times New Roman"/>
          <w:b/>
          <w:bCs/>
          <w:sz w:val="20"/>
          <w:szCs w:val="20"/>
        </w:rPr>
        <w:t xml:space="preserve">Figure 7.5: </w:t>
      </w:r>
      <w:r>
        <w:rPr>
          <w:rFonts w:ascii="Times New Roman" w:hAnsi="Times New Roman" w:cs="Times New Roman" w:eastAsia="Times New Roman"/>
          <w:sz w:val="20"/>
          <w:szCs w:val="20"/>
        </w:rPr>
        <w:t xml:space="preserve">Spurious directly-follows edges, worst case notion per log</w:t>
      </w:r>
      <w:bookmarkEnd w:id="1078"/>
    </w:p>
    <w:p>
      <w:pPr>
        <w:keepNext/>
        <w:spacing w:before="200" w:after="100" w:line="276" w:lineRule="auto"/>
        <w:outlineLvl w:val="1"/>
      </w:pPr>
      <w:bookmarkStart w:id="1079" w:name="_Toc_7_4"/>
      <w:r>
        <w:rPr>
          <w:rFonts w:ascii="Times New Roman" w:hAnsi="Times New Roman" w:cs="Times New Roman" w:eastAsia="Times New Roman"/>
          <w:b/>
          <w:bCs/>
          <w:sz w:val="24"/>
          <w:szCs w:val="24"/>
        </w:rPr>
        <w:t xml:space="preserve">7.4  Process Discovery on Flat Logs</w:t>
      </w:r>
      <w:bookmarkEnd w:id="1079"/>
    </w:p>
    <w:p>
      <w:pPr>
        <w:spacing w:before="0" w:after="120" w:line="276" w:lineRule="auto"/>
        <w:jc w:val="both"/>
      </w:pPr>
      <w:r>
        <w:rPr>
          <w:rFonts w:ascii="Times New Roman" w:hAnsi="Times New Roman" w:cs="Times New Roman" w:eastAsia="Times New Roman"/>
          <w:sz w:val="24"/>
          <w:szCs w:val="24"/>
        </w:rPr>
        <w:t xml:space="preserve">Process discovery is the most typical use of process mining, so we discovered a model from every flat log (C5 in Section 5.1); it finished for 37 of the 38 case notions, and Table 7.4 summarises the results per log. One case notion did not finish: Angular commits branches (it exceeded the time budget).</w:t>
      </w:r>
    </w:p>
    <w:p>
      <w:pPr>
        <w:keepNext/>
        <w:spacing w:before="160" w:after="80" w:line="240" w:lineRule="auto"/>
        <w:jc w:val="center"/>
      </w:pPr>
      <w:bookmarkStart w:id="1080" w:name="_Tab_7_4"/>
      <w:r>
        <w:rPr>
          <w:rFonts w:ascii="Times New Roman" w:hAnsi="Times New Roman" w:cs="Times New Roman" w:eastAsia="Times New Roman"/>
          <w:b/>
          <w:bCs/>
          <w:sz w:val="20"/>
          <w:szCs w:val="20"/>
        </w:rPr>
        <w:t xml:space="preserve">Table 7.4: </w:t>
      </w:r>
      <w:r>
        <w:rPr>
          <w:rFonts w:ascii="Times New Roman" w:hAnsi="Times New Roman" w:cs="Times New Roman" w:eastAsia="Times New Roman"/>
          <w:sz w:val="20"/>
          <w:szCs w:val="20"/>
        </w:rPr>
        <w:t xml:space="preserve">Process discovery on the flat logs (Inductive Miner, noise threshold 0.2)</w:t>
      </w:r>
      <w:bookmarkEnd w:id="1080"/>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917"/>
        <w:gridCol w:w="1022"/>
        <w:gridCol w:w="1150"/>
        <w:gridCol w:w="1533"/>
        <w:gridCol w:w="1789"/>
        <w:gridCol w:w="1661"/>
      </w:tblGrid>
      <w:tr>
        <w:trPr>
          <w:cantSplit/>
          <w:tblHeader/>
        </w:trPr>
        <w:tc>
          <w:tcPr>
            <w:tcW w:w="191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Log</w:t>
            </w:r>
          </w:p>
        </w:tc>
        <w:tc>
          <w:tcPr>
            <w:tcW w:w="102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Mined</w:t>
            </w:r>
          </w:p>
        </w:tc>
        <w:tc>
          <w:tcPr>
            <w:tcW w:w="115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Lowest fitness</w:t>
            </w:r>
          </w:p>
        </w:tc>
        <w:tc>
          <w:tcPr>
            <w:tcW w:w="153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precision (notions)</w:t>
            </w:r>
          </w:p>
        </w:tc>
        <w:tc>
          <w:tcPr>
            <w:tcW w:w="17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Models with 90% or more of activities in loops</w:t>
            </w:r>
          </w:p>
        </w:tc>
        <w:tc>
          <w:tcPr>
            <w:tcW w:w="166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Models with under half of the activities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CROP (Gerrit)</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3 of 3</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0.975</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0.65 (1)</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3</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0</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OULAD</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4 of 4</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0.980</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0.98 (2)</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3</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1</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German Bundestag</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9 of 9</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0.955</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0.79 (9)</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1</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9</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Age of Empires II</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11 of 11</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0.977</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0.30 (9)</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4</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9</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Ethereum (window)</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5 of 5</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0.979</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0.07 (1)</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5</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1</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7"/>
                <w:szCs w:val="17"/>
              </w:rPr>
              <w:t xml:space="preserve">Angular commits</w:t>
            </w:r>
          </w:p>
        </w:tc>
        <w:tc>
          <w:tcPr>
            <w:tcW w:w="1022" w:type="dxa"/>
            <w:vAlign w:val="center"/>
          </w:tcPr>
          <w:p>
            <w:pPr>
              <w:keepNext/>
              <w:spacing w:before="0" w:after="0" w:line="240" w:lineRule="auto"/>
              <w:jc w:val="center"/>
            </w:pPr>
            <w:r>
              <w:rPr>
                <w:rFonts w:ascii="Times New Roman" w:hAnsi="Times New Roman" w:cs="Times New Roman" w:eastAsia="Times New Roman"/>
                <w:sz w:val="17"/>
                <w:szCs w:val="17"/>
              </w:rPr>
              <w:t xml:space="preserve">1 of 2</w:t>
            </w:r>
          </w:p>
        </w:tc>
        <w:tc>
          <w:tcPr>
            <w:tcW w:w="1150" w:type="dxa"/>
            <w:vAlign w:val="center"/>
          </w:tcPr>
          <w:p>
            <w:pPr>
              <w:keepNext/>
              <w:spacing w:before="0" w:after="0" w:line="240" w:lineRule="auto"/>
              <w:jc w:val="right"/>
            </w:pPr>
            <w:r>
              <w:rPr>
                <w:rFonts w:ascii="Times New Roman" w:hAnsi="Times New Roman" w:cs="Times New Roman" w:eastAsia="Times New Roman"/>
                <w:sz w:val="17"/>
                <w:szCs w:val="17"/>
              </w:rPr>
              <w:t xml:space="preserve">0.987</w:t>
            </w:r>
          </w:p>
        </w:tc>
        <w:tc>
          <w:tcPr>
            <w:tcW w:w="1533" w:type="dxa"/>
            <w:vAlign w:val="center"/>
          </w:tcPr>
          <w:p>
            <w:pPr>
              <w:keepNext/>
              <w:spacing w:before="0" w:after="0" w:line="240" w:lineRule="auto"/>
              <w:jc w:val="right"/>
            </w:pPr>
            <w:r>
              <w:rPr>
                <w:rFonts w:ascii="Times New Roman" w:hAnsi="Times New Roman" w:cs="Times New Roman" w:eastAsia="Times New Roman"/>
                <w:sz w:val="17"/>
                <w:szCs w:val="17"/>
              </w:rPr>
              <w:t xml:space="preserve">0.60 (1)</w:t>
            </w:r>
          </w:p>
        </w:tc>
        <w:tc>
          <w:tcPr>
            <w:tcW w:w="1789" w:type="dxa"/>
            <w:vAlign w:val="center"/>
          </w:tcPr>
          <w:p>
            <w:pPr>
              <w:keepNext/>
              <w:spacing w:before="0" w:after="0" w:line="240" w:lineRule="auto"/>
              <w:jc w:val="center"/>
            </w:pPr>
            <w:r>
              <w:rPr>
                <w:rFonts w:ascii="Times New Roman" w:hAnsi="Times New Roman" w:cs="Times New Roman" w:eastAsia="Times New Roman"/>
                <w:sz w:val="17"/>
                <w:szCs w:val="17"/>
              </w:rPr>
              <w:t xml:space="preserve">0</w:t>
            </w:r>
          </w:p>
        </w:tc>
        <w:tc>
          <w:tcPr>
            <w:tcW w:w="1661" w:type="dxa"/>
            <w:vAlign w:val="center"/>
          </w:tcPr>
          <w:p>
            <w:pPr>
              <w:keepNext/>
              <w:spacing w:before="0" w:after="0" w:line="240" w:lineRule="auto"/>
              <w:jc w:val="center"/>
            </w:pPr>
            <w:r>
              <w:rPr>
                <w:rFonts w:ascii="Times New Roman" w:hAnsi="Times New Roman" w:cs="Times New Roman" w:eastAsia="Times New Roman"/>
                <w:sz w:val="17"/>
                <w:szCs w:val="17"/>
              </w:rPr>
              <w:t xml:space="preserve">0</w:t>
            </w:r>
          </w:p>
        </w:tc>
      </w:tr>
      <w:tr>
        <w:trPr>
          <w:cantSplit/>
        </w:trPr>
        <w:tc>
          <w:tcPr>
            <w:tcW w:w="1917" w:type="dxa"/>
            <w:vAlign w:val="center"/>
          </w:tcPr>
          <w:p>
            <w:pPr>
              <w:spacing w:before="0" w:after="0" w:line="240" w:lineRule="auto"/>
              <w:jc w:val="left"/>
            </w:pPr>
            <w:r>
              <w:rPr>
                <w:rFonts w:ascii="Times New Roman" w:hAnsi="Times New Roman" w:cs="Times New Roman" w:eastAsia="Times New Roman"/>
                <w:sz w:val="17"/>
                <w:szCs w:val="17"/>
              </w:rPr>
              <w:t xml:space="preserve">Enron e-mail</w:t>
            </w:r>
          </w:p>
        </w:tc>
        <w:tc>
          <w:tcPr>
            <w:tcW w:w="1022" w:type="dxa"/>
            <w:vAlign w:val="center"/>
          </w:tcPr>
          <w:p>
            <w:pPr>
              <w:spacing w:before="0" w:after="0" w:line="240" w:lineRule="auto"/>
              <w:jc w:val="center"/>
            </w:pPr>
            <w:r>
              <w:rPr>
                <w:rFonts w:ascii="Times New Roman" w:hAnsi="Times New Roman" w:cs="Times New Roman" w:eastAsia="Times New Roman"/>
                <w:sz w:val="17"/>
                <w:szCs w:val="17"/>
              </w:rPr>
              <w:t xml:space="preserve">4 of 4</w:t>
            </w:r>
          </w:p>
        </w:tc>
        <w:tc>
          <w:tcPr>
            <w:tcW w:w="1150" w:type="dxa"/>
            <w:vAlign w:val="center"/>
          </w:tcPr>
          <w:p>
            <w:pPr>
              <w:spacing w:before="0" w:after="0" w:line="240" w:lineRule="auto"/>
              <w:jc w:val="right"/>
            </w:pPr>
            <w:r>
              <w:rPr>
                <w:rFonts w:ascii="Times New Roman" w:hAnsi="Times New Roman" w:cs="Times New Roman" w:eastAsia="Times New Roman"/>
                <w:sz w:val="17"/>
                <w:szCs w:val="17"/>
              </w:rPr>
              <w:t xml:space="preserve">0.984</w:t>
            </w:r>
          </w:p>
        </w:tc>
        <w:tc>
          <w:tcPr>
            <w:tcW w:w="1533" w:type="dxa"/>
            <w:vAlign w:val="center"/>
          </w:tcPr>
          <w:p>
            <w:pPr>
              <w:spacing w:before="0" w:after="0" w:line="240" w:lineRule="auto"/>
              <w:jc w:val="right"/>
            </w:pPr>
            <w:r>
              <w:rPr>
                <w:rFonts w:ascii="Times New Roman" w:hAnsi="Times New Roman" w:cs="Times New Roman" w:eastAsia="Times New Roman"/>
                <w:sz w:val="17"/>
                <w:szCs w:val="17"/>
              </w:rPr>
              <w:t xml:space="preserve">0.99 (2)</w:t>
            </w:r>
          </w:p>
        </w:tc>
        <w:tc>
          <w:tcPr>
            <w:tcW w:w="1789" w:type="dxa"/>
            <w:vAlign w:val="center"/>
          </w:tcPr>
          <w:p>
            <w:pPr>
              <w:spacing w:before="0" w:after="0" w:line="240" w:lineRule="auto"/>
              <w:jc w:val="center"/>
            </w:pPr>
            <w:r>
              <w:rPr>
                <w:rFonts w:ascii="Times New Roman" w:hAnsi="Times New Roman" w:cs="Times New Roman" w:eastAsia="Times New Roman"/>
                <w:sz w:val="17"/>
                <w:szCs w:val="17"/>
              </w:rPr>
              <w:t xml:space="preserve">2</w:t>
            </w:r>
          </w:p>
        </w:tc>
        <w:tc>
          <w:tcPr>
            <w:tcW w:w="1661" w:type="dxa"/>
            <w:vAlign w:val="center"/>
          </w:tcPr>
          <w:p>
            <w:pPr>
              <w:spacing w:before="0" w:after="0" w:line="240" w:lineRule="auto"/>
              <w:jc w:val="center"/>
            </w:pPr>
            <w:r>
              <w:rPr>
                <w:rFonts w:ascii="Times New Roman" w:hAnsi="Times New Roman" w:cs="Times New Roman" w:eastAsia="Times New Roman"/>
                <w:sz w:val="17"/>
                <w:szCs w:val="17"/>
              </w:rPr>
              <w:t xml:space="preserve">0</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First, every model appears to be of high quality. Replay fitness runs from 0.955 to 1.000, with a median of 0.994, and all 20 narrowed case notions are in that range; yet 20 of the models contain fewer than half of the process's activities. Fitness is measured against the flat log from which the model was discovered, so it cannot reflect what flattening removed. Figure 7.6 reveals this: the points on the left represent models of a small fraction of the process, and they score as well as the complete ones.</w:t>
      </w:r>
    </w:p>
    <w:p>
      <w:pPr>
        <w:keepNext/>
        <w:spacing w:before="120" w:after="60" w:line="240" w:lineRule="auto"/>
        <w:jc w:val="center"/>
      </w:pPr>
      <w:r>
        <w:drawing>
          <wp:inline distT="0" distB="0" distL="0" distR="0">
            <wp:extent cx="5120640" cy="3019864"/>
            <wp:docPr id="514" name="Figure 7.6" descr="Replay fitness against the share of the process's activities in the discovered model, one dot per case n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discovery.png"/>
                    <pic:cNvPicPr/>
                  </pic:nvPicPr>
                  <pic:blipFill>
                    <a:blip r:embed="rIdImg14"/>
                    <a:stretch>
                      <a:fillRect/>
                    </a:stretch>
                  </pic:blipFill>
                  <pic:spPr>
                    <a:xfrm>
                      <a:off x="0" y="0"/>
                      <a:ext cx="5120640" cy="3019864"/>
                    </a:xfrm>
                    <a:prstGeom prst="rect">
                      <a:avLst/>
                    </a:prstGeom>
                  </pic:spPr>
                </pic:pic>
              </a:graphicData>
            </a:graphic>
          </wp:inline>
        </w:drawing>
      </w:r>
    </w:p>
    <w:p>
      <w:pPr>
        <w:spacing w:before="0" w:after="200" w:line="240" w:lineRule="auto"/>
        <w:jc w:val="center"/>
      </w:pPr>
      <w:bookmarkStart w:id="1081" w:name="_Fig_7_6"/>
      <w:r>
        <w:rPr>
          <w:rFonts w:ascii="Times New Roman" w:hAnsi="Times New Roman" w:cs="Times New Roman" w:eastAsia="Times New Roman"/>
          <w:b/>
          <w:bCs/>
          <w:sz w:val="20"/>
          <w:szCs w:val="20"/>
        </w:rPr>
        <w:t xml:space="preserve">Figure 7.6: </w:t>
      </w:r>
      <w:r>
        <w:rPr>
          <w:rFonts w:ascii="Times New Roman" w:hAnsi="Times New Roman" w:cs="Times New Roman" w:eastAsia="Times New Roman"/>
          <w:sz w:val="20"/>
          <w:szCs w:val="20"/>
        </w:rPr>
        <w:t xml:space="preserve">Replay fitness against the share of the process's activities in the discovered model, one dot per case notion</w:t>
      </w:r>
      <w:bookmarkEnd w:id="1081"/>
    </w:p>
    <w:p>
      <w:pPr>
        <w:spacing w:before="0" w:after="120" w:line="276" w:lineRule="auto"/>
        <w:jc w:val="both"/>
      </w:pPr>
      <w:r>
        <w:rPr>
          <w:rFonts w:ascii="Times New Roman" w:hAnsi="Times New Roman" w:cs="Times New Roman" w:eastAsia="Times New Roman"/>
          <w:sz w:val="24"/>
          <w:szCs w:val="24"/>
        </w:rPr>
        <w:t xml:space="preserve">Second, divergence appears as loops. Across case notions the loop share rises with the divergence share (Spearman rank correlation 0.69), and at least 90% of the activities sit under a loop in 14 of the 19 case notions with a divergence share of 0.5 or more, and in only 4 of the rest. When a flat case collects repeated events that belong to different objects, the miner tends to place them inside a loop. Precision, which could be computed for 25 case notions, reveals the result: its median is 0.67, and the lowest values (0.04 for Age of Empires II player, 0.07 for Ethereum orders (ORDER), 0.09 for German Bundestag legislation (Gesetzgebung)) all come from models in which nearly every activity is inside a loop, so the models accept almost any order of events.</w:t>
      </w:r>
    </w:p>
    <w:p>
      <w:pPr>
        <w:spacing w:before="0" w:after="120" w:line="276" w:lineRule="auto"/>
        <w:jc w:val="both"/>
      </w:pPr>
      <w:r>
        <w:rPr>
          <w:rFonts w:ascii="Times New Roman" w:hAnsi="Times New Roman" w:cs="Times New Roman" w:eastAsia="Times New Roman"/>
          <w:sz w:val="24"/>
          <w:szCs w:val="24"/>
        </w:rPr>
        <w:t xml:space="preserve">Given the number of case notions and the seven logs, we interpret these correlations as tendencies rather than general laws.</w:t>
      </w:r>
    </w:p>
    <w:p>
      <w:pPr>
        <w:keepNext/>
        <w:spacing w:before="200" w:after="100" w:line="276" w:lineRule="auto"/>
        <w:outlineLvl w:val="1"/>
      </w:pPr>
      <w:bookmarkStart w:id="1082" w:name="_Toc_7_5"/>
      <w:r>
        <w:rPr>
          <w:rFonts w:ascii="Times New Roman" w:hAnsi="Times New Roman" w:cs="Times New Roman" w:eastAsia="Times New Roman"/>
          <w:b/>
          <w:bCs/>
          <w:sz w:val="24"/>
          <w:szCs w:val="24"/>
        </w:rPr>
        <w:t xml:space="preserve">7.5  Discussion</w:t>
      </w:r>
      <w:bookmarkEnd w:id="1082"/>
    </w:p>
    <w:p>
      <w:pPr>
        <w:spacing w:before="0" w:after="120" w:line="276" w:lineRule="auto"/>
        <w:jc w:val="both"/>
      </w:pPr>
      <w:r>
        <w:rPr>
          <w:rFonts w:ascii="Times New Roman" w:hAnsi="Times New Roman" w:cs="Times New Roman" w:eastAsia="Times New Roman"/>
          <w:sz w:val="24"/>
          <w:szCs w:val="24"/>
        </w:rPr>
        <w:t xml:space="preserve">Our initial expectation was that flattening mainly duplicates events, and the data did not support this. Duplication is large in only two of the seven logs; the common pattern is that a case notion sees only part of the process, and the flat log gives no indication of what is missing. The usual quality check does not reveal this either: a model discovered from a narrowed flat log still replays that log almost perfectly, so fitness remains high precisely when the view is most partial.</w:t>
      </w:r>
    </w:p>
    <w:p>
      <w:pPr>
        <w:spacing w:before="0" w:after="120" w:line="276" w:lineRule="auto"/>
        <w:jc w:val="both"/>
      </w:pPr>
      <w:r>
        <w:rPr>
          <w:rFonts w:ascii="Times New Roman" w:hAnsi="Times New Roman" w:cs="Times New Roman" w:eastAsia="Times New Roman"/>
          <w:sz w:val="24"/>
          <w:szCs w:val="24"/>
        </w:rPr>
        <w:t xml:space="preserve">For the capstone, only a hypothesis can be stated, since no portal data is available. The portal's documented audit log relates each action to one project and to the person who acted. If real data has that shape, flattening on the project would copy few events, but it would hide how one guide's reviews spread across many projects, and it would hide the people; that is the narrowing pattern, not the duplication pattern. The next step is to test this on a de-identified portal log; until then, no claim about the portal is made.</w:t>
      </w:r>
    </w:p>
    <w:p>
      <w:pPr>
        <w:keepNext/>
        <w:spacing w:before="140" w:after="80" w:line="276" w:lineRule="auto"/>
        <w:outlineLvl w:val="2"/>
      </w:pPr>
      <w:bookmarkStart w:id="1083" w:name="_Toc_7_5_1"/>
      <w:r>
        <w:rPr>
          <w:rFonts w:ascii="Times New Roman" w:hAnsi="Times New Roman" w:cs="Times New Roman" w:eastAsia="Times New Roman"/>
          <w:b/>
          <w:bCs/>
          <w:i/>
          <w:iCs/>
          <w:sz w:val="24"/>
          <w:szCs w:val="24"/>
        </w:rPr>
        <w:t xml:space="preserve">7.5.1  Threats to Validity</w:t>
      </w:r>
      <w:bookmarkEnd w:id="1083"/>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Seven logs from several domains: the three regimes are descriptive, and we do not claim that they are exhaustive.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Our choices: case notions are object types (and roles for Enron), and the thresholds for nested children and for the minimum case-notion size are ours, written in the code.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window of Ethereum: those results come from a contiguous window of 300,000 events.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data-quality flag in Enron: about 0.1% of the events (72) have timestamps before 1990, which is unusual for a corpus from 1998 to 2002. They were kept.</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Checks by us: the independent implementations are independent of the code under test, not of the team, and the findings were labelled by no one outside the team.</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One miner: the discovery comparison applies one algorithm with one noise threshold, and other miners may well give different models.</w:t>
      </w:r>
    </w:p>
    <w:p>
      <w:pPr>
        <w:keepNext/>
        <w:spacing w:before="200" w:after="100" w:line="276" w:lineRule="auto"/>
        <w:outlineLvl w:val="1"/>
      </w:pPr>
      <w:bookmarkStart w:id="1084" w:name="_Toc_7_6"/>
      <w:r>
        <w:rPr>
          <w:rFonts w:ascii="Times New Roman" w:hAnsi="Times New Roman" w:cs="Times New Roman" w:eastAsia="Times New Roman"/>
          <w:b/>
          <w:bCs/>
          <w:sz w:val="24"/>
          <w:szCs w:val="24"/>
        </w:rPr>
        <w:t xml:space="preserve">7.6  Cost Analysis</w:t>
      </w:r>
      <w:bookmarkEnd w:id="1084"/>
    </w:p>
    <w:p>
      <w:pPr>
        <w:spacing w:before="0" w:after="120" w:line="276" w:lineRule="auto"/>
        <w:jc w:val="both"/>
      </w:pPr>
      <w:r>
        <w:rPr>
          <w:rFonts w:ascii="Times New Roman" w:hAnsi="Times New Roman" w:cs="Times New Roman" w:eastAsia="Times New Roman"/>
          <w:sz w:val="24"/>
          <w:szCs w:val="24"/>
        </w:rPr>
        <w:t xml:space="preserve">By cost we mean the money and effort to produce or reproduce the study. Table 7.5 summarises it.</w:t>
      </w:r>
    </w:p>
    <w:p>
      <w:pPr>
        <w:keepNext/>
        <w:spacing w:before="160" w:after="80" w:line="240" w:lineRule="auto"/>
        <w:jc w:val="center"/>
      </w:pPr>
      <w:bookmarkStart w:id="1085" w:name="_Tab_7_5"/>
      <w:r>
        <w:rPr>
          <w:rFonts w:ascii="Times New Roman" w:hAnsi="Times New Roman" w:cs="Times New Roman" w:eastAsia="Times New Roman"/>
          <w:b/>
          <w:bCs/>
          <w:sz w:val="20"/>
          <w:szCs w:val="20"/>
        </w:rPr>
        <w:t xml:space="preserve">Table 7.5: </w:t>
      </w:r>
      <w:r>
        <w:rPr>
          <w:rFonts w:ascii="Times New Roman" w:hAnsi="Times New Roman" w:cs="Times New Roman" w:eastAsia="Times New Roman"/>
          <w:sz w:val="20"/>
          <w:szCs w:val="20"/>
        </w:rPr>
        <w:t xml:space="preserve">Cost of producing and reproducing the study</w:t>
      </w:r>
      <w:bookmarkEnd w:id="108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3889"/>
        <w:gridCol w:w="3370"/>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Item</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Producing the study</w:t>
            </w:r>
          </w:p>
        </w:tc>
        <w:tc>
          <w:tcPr>
            <w:tcW w:w="337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Reproducing it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Data</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 data, CC BY 4.0)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About 350 MB download for the core set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(open-source libraries; </w:t>
            </w:r>
            <w:r>
              <w:rPr>
                <w:rFonts w:ascii="Courier New" w:hAnsi="Courier New" w:cs="Courier New" w:eastAsia="Courier New"/>
                <w:sz w:val="16"/>
                <w:szCs w:val="16"/>
              </w:rPr>
              <w:t xml:space="preserve">pm4py</w:t>
            </w:r>
            <w:r>
              <w:rPr>
                <w:rFonts w:ascii="Times New Roman" w:hAnsi="Times New Roman" w:cs="Times New Roman" w:eastAsia="Times New Roman"/>
                <w:sz w:val="18"/>
                <w:szCs w:val="18"/>
              </w:rPr>
              <w:t xml:space="preserve"> is AGPL-3.0)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Python 3.14 and the pinned packages in </w:t>
            </w:r>
            <w:r>
              <w:rPr>
                <w:rFonts w:ascii="Courier New" w:hAnsi="Courier New" w:cs="Courier New" w:eastAsia="Courier New"/>
                <w:sz w:val="16"/>
                <w:szCs w:val="16"/>
              </w:rPr>
              <w:t xml:space="preserve">requirements.txt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Hardware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A laptop the team already owned (8 GiB memory)</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Any laptop with 8 GiB of memory or more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Cloud or paid services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18"/>
                <w:szCs w:val="18"/>
              </w:rPr>
              <w:t xml:space="preserve">Run time</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Seconds to minutes per log</w:t>
            </w:r>
          </w:p>
        </w:tc>
        <w:tc>
          <w:tcPr>
            <w:tcW w:w="3370" w:type="dxa"/>
            <w:vAlign w:val="center"/>
          </w:tcPr>
          <w:p>
            <w:pPr>
              <w:spacing w:before="0" w:after="0" w:line="240" w:lineRule="auto"/>
              <w:jc w:val="left"/>
            </w:pPr>
            <w:r>
              <w:rPr>
                <w:rFonts w:ascii="Times New Roman" w:hAnsi="Times New Roman" w:cs="Times New Roman" w:eastAsia="Times New Roman"/>
                <w:sz w:val="18"/>
                <w:szCs w:val="18"/>
              </w:rPr>
              <w:t xml:space="preserve">About 4 to 10 seconds for the Enron log; </w:t>
            </w:r>
            <w:r>
              <w:rPr>
                <w:rFonts w:ascii="Courier New" w:hAnsi="Courier New" w:cs="Courier New" w:eastAsia="Courier New"/>
                <w:sz w:val="16"/>
                <w:szCs w:val="16"/>
              </w:rPr>
              <w:t xml:space="preserve">make study</w:t>
            </w:r>
            <w:r>
              <w:rPr>
                <w:rFonts w:ascii="Times New Roman" w:hAnsi="Times New Roman" w:cs="Times New Roman" w:eastAsia="Times New Roman"/>
                <w:sz w:val="18"/>
                <w:szCs w:val="18"/>
              </w:rPr>
              <w:t xml:space="preserve"> for all seven logs took 6 minutes 6 seconds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principal cost is the team's time, much of it spent on verification; the monetary cost is nil.</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8</w:t>
      </w:r>
    </w:p>
    <w:p>
      <w:pPr>
        <w:keepNext/>
        <w:spacing w:before="0" w:after="240" w:line="276" w:lineRule="auto"/>
        <w:jc w:val="center"/>
        <w:outlineLvl w:val="0"/>
      </w:pPr>
      <w:bookmarkStart w:id="1086" w:name="_Toc_ch8"/>
      <w:r>
        <w:rPr>
          <w:rFonts w:ascii="Times New Roman" w:hAnsi="Times New Roman" w:cs="Times New Roman" w:eastAsia="Times New Roman"/>
          <w:b/>
          <w:bCs/>
          <w:sz w:val="28"/>
          <w:szCs w:val="28"/>
        </w:rPr>
        <w:t xml:space="preserve">CONCLUSION</w:t>
      </w:r>
      <w:bookmarkEnd w:id="1086"/>
    </w:p>
    <w:p>
      <w:pPr>
        <w:spacing w:before="0" w:after="120" w:line="276" w:lineRule="auto"/>
        <w:jc w:val="both"/>
      </w:pPr>
      <w:r>
        <w:rPr>
          <w:rFonts w:ascii="Times New Roman" w:hAnsi="Times New Roman" w:cs="Times New Roman" w:eastAsia="Times New Roman"/>
          <w:sz w:val="24"/>
          <w:szCs w:val="24"/>
        </w:rPr>
        <w:t xml:space="preserve">We set out to study capstone review processes with OCEL 2.0. Portal logs were not available, so the project turned into two things: a documented OCEL 2.0 design of the capstone lifecycle, and a measurement of the effects of flattening on seven real public logs. The main conclusions are as follows.</w:t>
      </w:r>
    </w:p>
    <w:p>
      <w:pPr>
        <w:spacing w:before="0" w:after="120" w:line="276" w:lineRule="auto"/>
        <w:jc w:val="both"/>
      </w:pPr>
      <w:r>
        <w:rPr>
          <w:rFonts w:ascii="Times New Roman" w:hAnsi="Times New Roman" w:cs="Times New Roman" w:eastAsia="Times New Roman"/>
          <w:sz w:val="24"/>
          <w:szCs w:val="24"/>
        </w:rPr>
        <w:t xml:space="preserve">First, a reproducible and verified pipeline has been built; it downloads and verifies seven public logs, converts two of them to OCEL 2.0, computes distortion metrics for 38 case notions and compares standard outputs between flat and object-centric views. A second, plain-Python implementation reproduces the distortion metrics exactly on all seven full logs, other independent checks agree with the parts they cover, and the checks caught three bugs of our own, which we fixed.</w:t>
      </w:r>
    </w:p>
    <w:p>
      <w:pPr>
        <w:spacing w:before="0" w:after="120" w:line="276" w:lineRule="auto"/>
        <w:jc w:val="both"/>
      </w:pPr>
      <w:r>
        <w:rPr>
          <w:rFonts w:ascii="Times New Roman" w:hAnsi="Times New Roman" w:cs="Times New Roman" w:eastAsia="Times New Roman"/>
          <w:sz w:val="24"/>
          <w:szCs w:val="24"/>
        </w:rPr>
        <w:t xml:space="preserve">Second, flattening does not mainly duplicate events. Duplication is large only in the fan-out logs, up to 81.65 copies of an event in Angular, and only 2 of 38 case notions fall below a rank correlation of 0.95 on account of duplication alone.</w:t>
      </w:r>
    </w:p>
    <w:p>
      <w:pPr>
        <w:spacing w:before="0" w:after="120" w:line="276" w:lineRule="auto"/>
        <w:jc w:val="both"/>
      </w:pPr>
      <w:r>
        <w:rPr>
          <w:rFonts w:ascii="Times New Roman" w:hAnsi="Times New Roman" w:cs="Times New Roman" w:eastAsia="Times New Roman"/>
          <w:sz w:val="24"/>
          <w:szCs w:val="24"/>
        </w:rPr>
        <w:t xml:space="preserve">Third, the larger effect is narrowing. In 20 of 38 case notions the flat log shows fewer than half of the process's activities. Most of that comes from the structure of the logs; yet 2 of the 15 case notions that cover at least half of their log are narrowed too, and in two logs no case notion covers half of the events. The counts hold across every threshold we tried and in every bootstrap replicate.</w:t>
      </w:r>
    </w:p>
    <w:p>
      <w:pPr>
        <w:spacing w:before="0" w:after="120" w:line="276" w:lineRule="auto"/>
        <w:jc w:val="both"/>
      </w:pPr>
      <w:r>
        <w:rPr>
          <w:rFonts w:ascii="Times New Roman" w:hAnsi="Times New Roman" w:cs="Times New Roman" w:eastAsia="Times New Roman"/>
          <w:sz w:val="24"/>
          <w:szCs w:val="24"/>
        </w:rPr>
        <w:t xml:space="preserve">Fourth, the usual quality checks do not detect narrowing: a model discovered from a narrowed flat log still replays that log with a fitness of 0.955 or more, and divergence turns into loops that accept almost any order of events.</w:t>
      </w:r>
    </w:p>
    <w:p>
      <w:pPr>
        <w:spacing w:before="0" w:after="120" w:line="276" w:lineRule="auto"/>
        <w:jc w:val="both"/>
      </w:pPr>
      <w:r>
        <w:rPr>
          <w:rFonts w:ascii="Times New Roman" w:hAnsi="Times New Roman" w:cs="Times New Roman" w:eastAsia="Times New Roman"/>
          <w:sz w:val="24"/>
          <w:szCs w:val="24"/>
        </w:rPr>
        <w:t xml:space="preserve">Fifth, careless counting from a flat export can be seriously misleading: worst-case entity rankings reach a rank correlation of 0.16 (Enron), -0.01 (Ethereum) and -0.41 (Age of Empires II), and none of the bootstrap intervals exceeds 0.2.</w:t>
      </w:r>
    </w:p>
    <w:p>
      <w:pPr>
        <w:spacing w:before="0" w:after="120" w:line="276" w:lineRule="auto"/>
        <w:jc w:val="both"/>
      </w:pPr>
      <w:r>
        <w:rPr>
          <w:rFonts w:ascii="Times New Roman" w:hAnsi="Times New Roman" w:cs="Times New Roman" w:eastAsia="Times New Roman"/>
          <w:sz w:val="24"/>
          <w:szCs w:val="24"/>
        </w:rPr>
        <w:t xml:space="preserve">Sixth, the capstone model remains a design. We could not test it on portal data, and nothing is claimed about how real capstone teams behave.</w:t>
      </w:r>
    </w:p>
    <w:p>
      <w:pPr>
        <w:spacing w:before="0" w:after="120" w:line="276" w:lineRule="auto"/>
        <w:jc w:val="both"/>
      </w:pPr>
      <w:r>
        <w:rPr>
          <w:rFonts w:ascii="Times New Roman" w:hAnsi="Times New Roman" w:cs="Times New Roman" w:eastAsia="Times New Roman"/>
          <w:sz w:val="24"/>
          <w:szCs w:val="24"/>
        </w:rPr>
        <w:t xml:space="preserve">The measurement part of this work is written up as a journal paper, </w:t>
      </w:r>
      <w:r>
        <w:rPr>
          <w:rFonts w:ascii="Times New Roman" w:hAnsi="Times New Roman" w:cs="Times New Roman" w:eastAsia="Times New Roman"/>
          <w:i/>
          <w:iCs/>
          <w:sz w:val="24"/>
          <w:szCs w:val="24"/>
        </w:rPr>
        <w:t xml:space="preserve">What Does Flattening Hide? Measuring Case-Notion Distortion and Its Consequences on Seven Real Object-Centric Event Logs</w:t>
      </w:r>
      <w:r>
        <w:rPr>
          <w:rFonts w:ascii="Times New Roman" w:hAnsi="Times New Roman" w:cs="Times New Roman" w:eastAsia="Times New Roman"/>
          <w:sz w:val="24"/>
          <w:szCs w:val="24"/>
        </w:rPr>
        <w:t xml:space="preserve">, which we submitted to the Journal of Intelligent Information Systems (Springer) in October 2026; it is under review.</w:t>
      </w:r>
    </w:p>
    <w:p>
      <w:pPr>
        <w:keepNext/>
        <w:spacing w:before="200" w:after="100" w:line="276" w:lineRule="auto"/>
        <w:outlineLvl w:val="1"/>
      </w:pPr>
      <w:bookmarkStart w:id="1087" w:name="_Toc_8_1"/>
      <w:r>
        <w:rPr>
          <w:rFonts w:ascii="Times New Roman" w:hAnsi="Times New Roman" w:cs="Times New Roman" w:eastAsia="Times New Roman"/>
          <w:b/>
          <w:bCs/>
          <w:sz w:val="24"/>
          <w:szCs w:val="24"/>
        </w:rPr>
        <w:t xml:space="preserve">8.1  Limitations</w:t>
      </w:r>
      <w:bookmarkEnd w:id="1087"/>
    </w:p>
    <w:p>
      <w:pPr>
        <w:spacing w:before="0" w:after="120" w:line="276" w:lineRule="auto"/>
        <w:jc w:val="both"/>
      </w:pPr>
      <w:r>
        <w:rPr>
          <w:rFonts w:ascii="Times New Roman" w:hAnsi="Times New Roman" w:cs="Times New Roman" w:eastAsia="Times New Roman"/>
          <w:sz w:val="24"/>
          <w:szCs w:val="24"/>
        </w:rPr>
        <w:t xml:space="preserve">We have seven logs from five domains, and one of them is a window. The thresholds are ours, and the idea of a plausible case notion came after we had seen the first results. The checks are independent of the code under test but not of the team, no one outside the team has labelled the findings, and the activity-ranking numbers are re-computed only by the bootstrap code. The discovery comparison applies one miner, and the rule-based engine covers eleven rules on two logs, which we use for no conclusion.</w:t>
      </w:r>
    </w:p>
    <w:p>
      <w:pPr>
        <w:keepNext/>
        <w:spacing w:before="200" w:after="100" w:line="276" w:lineRule="auto"/>
        <w:outlineLvl w:val="1"/>
      </w:pPr>
      <w:bookmarkStart w:id="1088" w:name="_Toc_8_2"/>
      <w:r>
        <w:rPr>
          <w:rFonts w:ascii="Times New Roman" w:hAnsi="Times New Roman" w:cs="Times New Roman" w:eastAsia="Times New Roman"/>
          <w:b/>
          <w:bCs/>
          <w:sz w:val="24"/>
          <w:szCs w:val="24"/>
        </w:rPr>
        <w:t xml:space="preserve">8.2  Future Work</w:t>
      </w:r>
      <w:bookmarkEnd w:id="1088"/>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Get independent two-rater labelling of the real-data findings.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Compare predictive monitoring between flat and object-centric logs, and repeat the discovery comparison with other miners.</w:t>
      </w:r>
    </w:p>
    <w:p>
      <w:pPr>
        <w:keepNext/>
        <w:pageBreakBefore/>
        <w:spacing w:before="0" w:after="240" w:line="276" w:lineRule="auto"/>
        <w:jc w:val="center"/>
        <w:outlineLvl w:val="0"/>
      </w:pPr>
      <w:bookmarkStart w:id="1089" w:name="_Toc_refs"/>
      <w:r>
        <w:rPr>
          <w:rFonts w:ascii="Times New Roman" w:hAnsi="Times New Roman" w:cs="Times New Roman" w:eastAsia="Times New Roman"/>
          <w:b/>
          <w:bCs/>
          <w:sz w:val="28"/>
          <w:szCs w:val="28"/>
        </w:rPr>
        <w:t xml:space="preserve">REFERENCES</w:t>
      </w:r>
      <w:bookmarkEnd w:id="1089"/>
    </w:p>
    <w:p>
      <w:pPr>
        <w:spacing w:before="0" w:after="160" w:line="276" w:lineRule="auto"/>
        <w:jc w:val="left"/>
      </w:pPr>
      <w:r>
        <w:rPr>
          <w:rFonts w:ascii="Times New Roman" w:hAnsi="Times New Roman" w:cs="Times New Roman" w:eastAsia="Times New Roman"/>
          <w:i/>
          <w:iCs/>
          <w:sz w:val="22"/>
          <w:szCs w:val="22"/>
        </w:rPr>
        <w:t xml:space="preserve">The references follow the IEEE numeric style, numbered in the order in which they are first cited.</w:t>
      </w:r>
    </w:p>
    <w:p>
      <w:pPr>
        <w:spacing w:before="0" w:after="100" w:line="276" w:lineRule="auto"/>
        <w:ind w:left="567" w:hanging="567"/>
        <w:jc w:val="both"/>
      </w:pPr>
      <w:r>
        <w:rPr>
          <w:rFonts w:ascii="Times New Roman" w:hAnsi="Times New Roman" w:cs="Times New Roman" w:eastAsia="Times New Roman"/>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M. P. van der Aalst, "Object-centric process mining: Dealing with divergence and convergence in event data," in </w:t>
      </w:r>
      <w:r>
        <w:rPr>
          <w:rFonts w:ascii="Times New Roman" w:hAnsi="Times New Roman" w:cs="Times New Roman" w:eastAsia="Times New Roman"/>
          <w:i/>
          <w:iCs/>
          <w:sz w:val="24"/>
          <w:szCs w:val="24"/>
        </w:rPr>
        <w:t xml:space="preserve">Software Engineering and Formal Methods (SEFM)</w:t>
      </w:r>
      <w:r>
        <w:rPr>
          <w:rFonts w:ascii="Times New Roman" w:hAnsi="Times New Roman" w:cs="Times New Roman" w:eastAsia="Times New Roman"/>
          <w:sz w:val="24"/>
          <w:szCs w:val="24"/>
        </w:rPr>
        <w:t xml:space="preserve">, Lecture Notes in Computer Science. Springer, 2019, pp. 3-25.</w:t>
      </w:r>
    </w:p>
    <w:p>
      <w:pPr>
        <w:spacing w:before="0" w:after="100" w:line="276" w:lineRule="auto"/>
        <w:ind w:left="567" w:hanging="567"/>
        <w:jc w:val="both"/>
      </w:pPr>
      <w:r>
        <w:rPr>
          <w:rFonts w:ascii="Times New Roman" w:hAnsi="Times New Roman" w:cs="Times New Roman" w:eastAsia="Times New Roman"/>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"OCEL (Object-Centric Event Log) 2.0 specification," arXiv:2403.01975, 2024.</w:t>
      </w:r>
    </w:p>
    <w:p>
      <w:pPr>
        <w:spacing w:before="0" w:after="100" w:line="276" w:lineRule="auto"/>
        <w:ind w:left="567" w:hanging="567"/>
        <w:jc w:val="both"/>
      </w:pPr>
      <w:r>
        <w:rPr>
          <w:rFonts w:ascii="Times New Roman" w:hAnsi="Times New Roman" w:cs="Times New Roman" w:eastAsia="Times New Roman"/>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G. Park, and W. M. P. van der Aalst, "Preserving complex object-centric graph structures to improve machine learning tasks in process mining," </w:t>
      </w:r>
      <w:r>
        <w:rPr>
          <w:rFonts w:ascii="Times New Roman" w:hAnsi="Times New Roman" w:cs="Times New Roman" w:eastAsia="Times New Roman"/>
          <w:i/>
          <w:iCs/>
          <w:sz w:val="24"/>
          <w:szCs w:val="24"/>
        </w:rPr>
        <w:t xml:space="preserve">Engineering Applications of Artificial Intelligence</w:t>
      </w:r>
      <w:r>
        <w:rPr>
          <w:rFonts w:ascii="Times New Roman" w:hAnsi="Times New Roman" w:cs="Times New Roman" w:eastAsia="Times New Roman"/>
          <w:sz w:val="24"/>
          <w:szCs w:val="24"/>
        </w:rPr>
        <w:t xml:space="preserve">, vol. 125, p. 106764, 2023.</w:t>
      </w:r>
    </w:p>
    <w:p>
      <w:pPr>
        <w:spacing w:before="0" w:after="100" w:line="276" w:lineRule="auto"/>
        <w:ind w:left="567" w:hanging="567"/>
        <w:jc w:val="both"/>
      </w:pPr>
      <w:r>
        <w:rPr>
          <w:rFonts w:ascii="Times New Roman" w:hAnsi="Times New Roman" w:cs="Times New Roman" w:eastAsia="Times New Roman"/>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and W. M. P. van der Aalst, "Addressing convergence, divergence, and deficiency issues," Lecture Notes in Business Information Processing. Springer, 2024.</w:t>
      </w:r>
    </w:p>
    <w:p>
      <w:pPr>
        <w:spacing w:before="0" w:after="100" w:line="276" w:lineRule="auto"/>
        <w:ind w:left="567" w:hanging="567"/>
        <w:jc w:val="both"/>
      </w:pPr>
      <w:r>
        <w:rPr>
          <w:rFonts w:ascii="Times New Roman" w:hAnsi="Times New Roman" w:cs="Times New Roman" w:eastAsia="Times New Roman"/>
          <w:sz w:val="24"/>
          <w:szCs w:val="24"/>
        </w:rPr>
        <w:t xml:space="preserve">[5]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 Waibel, L. Pfahlsberger, K. Revoredo, and J. Mendling, "Causal process mining from relational databases with domain knowledge," arXiv:2202.08314, 2022.</w:t>
      </w:r>
    </w:p>
    <w:p>
      <w:pPr>
        <w:spacing w:before="0" w:after="100" w:line="276" w:lineRule="auto"/>
        <w:ind w:left="567" w:hanging="567"/>
        <w:jc w:val="both"/>
      </w:pPr>
      <w:r>
        <w:rPr>
          <w:rFonts w:ascii="Times New Roman" w:hAnsi="Times New Roman" w:cs="Times New Roman" w:eastAsia="Times New Roman"/>
          <w:sz w:val="24"/>
          <w:szCs w:val="24"/>
        </w:rPr>
        <w:t xml:space="preserve">[6]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Kabierski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"Data quality in object-centric event data: Issues classification and evaluation," </w:t>
      </w:r>
      <w:r>
        <w:rPr>
          <w:rFonts w:ascii="Times New Roman" w:hAnsi="Times New Roman" w:cs="Times New Roman" w:eastAsia="Times New Roman"/>
          <w:i/>
          <w:iCs/>
          <w:sz w:val="24"/>
          <w:szCs w:val="24"/>
        </w:rPr>
        <w:t xml:space="preserve">Process Science</w:t>
      </w:r>
      <w:r>
        <w:rPr>
          <w:rFonts w:ascii="Times New Roman" w:hAnsi="Times New Roman" w:cs="Times New Roman" w:eastAsia="Times New Roman"/>
          <w:sz w:val="24"/>
          <w:szCs w:val="24"/>
        </w:rPr>
        <w:t xml:space="preserve">, vol. 3, 2026.</w:t>
      </w:r>
    </w:p>
    <w:p>
      <w:pPr>
        <w:spacing w:before="0" w:after="100" w:line="276" w:lineRule="auto"/>
        <w:ind w:left="567" w:hanging="567"/>
        <w:jc w:val="both"/>
      </w:pPr>
      <w:r>
        <w:rPr>
          <w:rFonts w:ascii="Times New Roman" w:hAnsi="Times New Roman" w:cs="Times New Roman" w:eastAsia="Times New Roman"/>
          <w:sz w:val="24"/>
          <w:szCs w:val="24"/>
        </w:rPr>
        <w:t xml:space="preserve">[7]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 Miri, S. Khayatbashi, J. Zdravkovic, and A. Jalali, "An object-centric approach to multi-entity educational process mining," </w:t>
      </w:r>
      <w:r>
        <w:rPr>
          <w:rFonts w:ascii="Times New Roman" w:hAnsi="Times New Roman" w:cs="Times New Roman" w:eastAsia="Times New Roman"/>
          <w:i/>
          <w:iCs/>
          <w:sz w:val="24"/>
          <w:szCs w:val="24"/>
        </w:rPr>
        <w:t xml:space="preserve">Decision Analytics Journal</w:t>
      </w:r>
      <w:r>
        <w:rPr>
          <w:rFonts w:ascii="Times New Roman" w:hAnsi="Times New Roman" w:cs="Times New Roman" w:eastAsia="Times New Roman"/>
          <w:sz w:val="24"/>
          <w:szCs w:val="24"/>
        </w:rPr>
        <w:t xml:space="preserve">, vol. 19, p. 100724, 2026.</w:t>
      </w:r>
    </w:p>
    <w:p>
      <w:pPr>
        <w:spacing w:before="0" w:after="100" w:line="276" w:lineRule="auto"/>
        <w:ind w:left="567" w:hanging="567"/>
        <w:jc w:val="both"/>
      </w:pPr>
      <w:r>
        <w:rPr>
          <w:rFonts w:ascii="Times New Roman" w:hAnsi="Times New Roman" w:cs="Times New Roman" w:eastAsia="Times New Roman"/>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Kuzilek, M. Hlosta, and Z. Zdrahal, "Open University Learning Analytics dataset," </w:t>
      </w:r>
      <w:r>
        <w:rPr>
          <w:rFonts w:ascii="Times New Roman" w:hAnsi="Times New Roman" w:cs="Times New Roman" w:eastAsia="Times New Roman"/>
          <w:i/>
          <w:iCs/>
          <w:sz w:val="24"/>
          <w:szCs w:val="24"/>
        </w:rPr>
        <w:t xml:space="preserve">Scientific Data</w:t>
      </w:r>
      <w:r>
        <w:rPr>
          <w:rFonts w:ascii="Times New Roman" w:hAnsi="Times New Roman" w:cs="Times New Roman" w:eastAsia="Times New Roman"/>
          <w:sz w:val="24"/>
          <w:szCs w:val="24"/>
        </w:rPr>
        <w:t xml:space="preserve">, vol. 4, p. 170171, 2017.</w:t>
      </w:r>
    </w:p>
    <w:p>
      <w:pPr>
        <w:spacing w:before="0" w:after="100" w:line="276" w:lineRule="auto"/>
        <w:ind w:left="567" w:hanging="567"/>
        <w:jc w:val="both"/>
      </w:pPr>
      <w:r>
        <w:rPr>
          <w:rFonts w:ascii="Times New Roman" w:hAnsi="Times New Roman" w:cs="Times New Roman" w:eastAsia="Times New Roman"/>
          <w:sz w:val="24"/>
          <w:szCs w:val="24"/>
        </w:rPr>
        <w:t xml:space="preserve">[9]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Paixao, J. Krinke, D. Han, and M. Harman, "CROP: Linking code reviews to source code changes," in </w:t>
      </w:r>
      <w:r>
        <w:rPr>
          <w:rFonts w:ascii="Times New Roman" w:hAnsi="Times New Roman" w:cs="Times New Roman" w:eastAsia="Times New Roman"/>
          <w:i/>
          <w:iCs/>
          <w:sz w:val="24"/>
          <w:szCs w:val="24"/>
        </w:rPr>
        <w:t xml:space="preserve">Proc. Mining Software Repositories (MSR)</w:t>
      </w:r>
      <w:r>
        <w:rPr>
          <w:rFonts w:ascii="Times New Roman" w:hAnsi="Times New Roman" w:cs="Times New Roman" w:eastAsia="Times New Roman"/>
          <w:sz w:val="24"/>
          <w:szCs w:val="24"/>
        </w:rPr>
        <w:t xml:space="preserve">, 2018.</w:t>
      </w:r>
    </w:p>
    <w:p>
      <w:pPr>
        <w:spacing w:before="0" w:after="100" w:line="276" w:lineRule="auto"/>
        <w:ind w:left="567" w:hanging="567"/>
        <w:jc w:val="both"/>
      </w:pPr>
      <w:r>
        <w:rPr>
          <w:rFonts w:ascii="Times New Roman" w:hAnsi="Times New Roman" w:cs="Times New Roman" w:eastAsia="Times New Roman"/>
          <w:sz w:val="24"/>
          <w:szCs w:val="24"/>
        </w:rPr>
        <w:t xml:space="preserve">[10]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 Hassani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"Supervision of undergraduate final year projects in computing: A case study," </w:t>
      </w:r>
      <w:r>
        <w:rPr>
          <w:rFonts w:ascii="Times New Roman" w:hAnsi="Times New Roman" w:cs="Times New Roman" w:eastAsia="Times New Roman"/>
          <w:i/>
          <w:iCs/>
          <w:sz w:val="24"/>
          <w:szCs w:val="24"/>
        </w:rPr>
        <w:t xml:space="preserve">Education Sciences</w:t>
      </w:r>
      <w:r>
        <w:rPr>
          <w:rFonts w:ascii="Times New Roman" w:hAnsi="Times New Roman" w:cs="Times New Roman" w:eastAsia="Times New Roman"/>
          <w:sz w:val="24"/>
          <w:szCs w:val="24"/>
        </w:rPr>
        <w:t xml:space="preserve">, vol. 8, no. 4, p. 210, 2018.</w:t>
      </w:r>
    </w:p>
    <w:p>
      <w:pPr>
        <w:spacing w:before="0" w:after="100" w:line="276" w:lineRule="auto"/>
        <w:ind w:left="567" w:hanging="567"/>
        <w:jc w:val="both"/>
      </w:pPr>
      <w:r>
        <w:rPr>
          <w:rFonts w:ascii="Times New Roman" w:hAnsi="Times New Roman" w:cs="Times New Roman" w:eastAsia="Times New Roman"/>
          <w:sz w:val="24"/>
          <w:szCs w:val="24"/>
        </w:rPr>
        <w:t xml:space="preserve">[11]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Premchaiswadi and P. Porouhan, "Process modeling and bottleneck mining in online peer-review systems," </w:t>
      </w:r>
      <w:r>
        <w:rPr>
          <w:rFonts w:ascii="Times New Roman" w:hAnsi="Times New Roman" w:cs="Times New Roman" w:eastAsia="Times New Roman"/>
          <w:i/>
          <w:iCs/>
          <w:sz w:val="24"/>
          <w:szCs w:val="24"/>
        </w:rPr>
        <w:t xml:space="preserve">SpringerPlus</w:t>
      </w:r>
      <w:r>
        <w:rPr>
          <w:rFonts w:ascii="Times New Roman" w:hAnsi="Times New Roman" w:cs="Times New Roman" w:eastAsia="Times New Roman"/>
          <w:sz w:val="24"/>
          <w:szCs w:val="24"/>
        </w:rPr>
        <w:t xml:space="preserve">, vol. 4, p. 441, 2015.</w:t>
      </w:r>
    </w:p>
    <w:p>
      <w:pPr>
        <w:spacing w:before="0" w:after="100" w:line="276" w:lineRule="auto"/>
        <w:ind w:left="567" w:hanging="567"/>
        <w:jc w:val="both"/>
      </w:pPr>
      <w:r>
        <w:rPr>
          <w:rFonts w:ascii="Times New Roman" w:hAnsi="Times New Roman" w:cs="Times New Roman" w:eastAsia="Times New Roman"/>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 J. J. Leemans, D. Fahland, and W. M. P. van der Aalst, "Discovering block-structured process models from event logs containing infrequent behaviour," in </w:t>
      </w:r>
      <w:r>
        <w:rPr>
          <w:rFonts w:ascii="Times New Roman" w:hAnsi="Times New Roman" w:cs="Times New Roman" w:eastAsia="Times New Roman"/>
          <w:i/>
          <w:iCs/>
          <w:sz w:val="24"/>
          <w:szCs w:val="24"/>
        </w:rPr>
        <w:t xml:space="preserve">Business Process Management Workshops (BPM 2013)</w:t>
      </w:r>
      <w:r>
        <w:rPr>
          <w:rFonts w:ascii="Times New Roman" w:hAnsi="Times New Roman" w:cs="Times New Roman" w:eastAsia="Times New Roman"/>
          <w:sz w:val="24"/>
          <w:szCs w:val="24"/>
        </w:rPr>
        <w:t xml:space="preserve">, Lecture Notes in Business Information Processing, vol. 171. Springer, 2014, pp. 66-78.</w:t>
      </w:r>
    </w:p>
    <w:p>
      <w:pPr>
        <w:spacing w:before="0" w:after="100" w:line="276" w:lineRule="auto"/>
        <w:ind w:left="567" w:hanging="567"/>
        <w:jc w:val="both"/>
      </w:pPr>
      <w:r>
        <w:rPr>
          <w:rFonts w:ascii="Times New Roman" w:hAnsi="Times New Roman" w:cs="Times New Roman" w:eastAsia="Times New Roman"/>
          <w:sz w:val="24"/>
          <w:szCs w:val="24"/>
        </w:rPr>
        <w:t xml:space="preserve">[13]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and W. M. P. van der Aalst, "Reviving token-based replay: Increasing speed while improving diagnostics," in </w:t>
      </w:r>
      <w:r>
        <w:rPr>
          <w:rFonts w:ascii="Times New Roman" w:hAnsi="Times New Roman" w:cs="Times New Roman" w:eastAsia="Times New Roman"/>
          <w:i/>
          <w:iCs/>
          <w:sz w:val="24"/>
          <w:szCs w:val="24"/>
        </w:rPr>
        <w:t xml:space="preserve">Proc. Algorithms and Theories for the Analysis of Event Data (ATAED 2019)</w:t>
      </w:r>
      <w:r>
        <w:rPr>
          <w:rFonts w:ascii="Times New Roman" w:hAnsi="Times New Roman" w:cs="Times New Roman" w:eastAsia="Times New Roman"/>
          <w:sz w:val="24"/>
          <w:szCs w:val="24"/>
        </w:rPr>
        <w:t xml:space="preserve">, CEUR Workshop Proceedings, vol. 2371, 2019, pp. 87-103.</w:t>
      </w:r>
    </w:p>
    <w:p>
      <w:pPr>
        <w:spacing w:before="0" w:after="100" w:line="276" w:lineRule="auto"/>
        <w:ind w:left="567" w:hanging="567"/>
        <w:jc w:val="both"/>
      </w:pPr>
      <w:r>
        <w:rPr>
          <w:rFonts w:ascii="Times New Roman" w:hAnsi="Times New Roman" w:cs="Times New Roman" w:eastAsia="Times New Roman"/>
          <w:sz w:val="24"/>
          <w:szCs w:val="24"/>
        </w:rPr>
        <w:t xml:space="preserve">[14]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Munoz-Gama and J. Carmona, "A fresh look at precision in process conformance," in </w:t>
      </w:r>
      <w:r>
        <w:rPr>
          <w:rFonts w:ascii="Times New Roman" w:hAnsi="Times New Roman" w:cs="Times New Roman" w:eastAsia="Times New Roman"/>
          <w:i/>
          <w:iCs/>
          <w:sz w:val="24"/>
          <w:szCs w:val="24"/>
        </w:rPr>
        <w:t xml:space="preserve">Business Process Management (BPM 2010)</w:t>
      </w:r>
      <w:r>
        <w:rPr>
          <w:rFonts w:ascii="Times New Roman" w:hAnsi="Times New Roman" w:cs="Times New Roman" w:eastAsia="Times New Roman"/>
          <w:sz w:val="24"/>
          <w:szCs w:val="24"/>
        </w:rPr>
        <w:t xml:space="preserve">, Lecture Notes in Computer Science, vol. 6336. Springer, 2010, pp. 211-226.</w:t>
      </w:r>
    </w:p>
    <w:p>
      <w:pPr>
        <w:spacing w:before="0" w:after="100" w:line="276" w:lineRule="auto"/>
        <w:ind w:left="567" w:hanging="567"/>
        <w:jc w:val="both"/>
      </w:pPr>
      <w:r>
        <w:rPr>
          <w:rFonts w:ascii="Times New Roman" w:hAnsi="Times New Roman" w:cs="Times New Roman" w:eastAsia="Times New Roman"/>
          <w:sz w:val="24"/>
          <w:szCs w:val="24"/>
        </w:rPr>
        <w:t xml:space="preserve">[15]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S. van Zelst, and D. Schuster, "PM4Py: A process mining library for Python," </w:t>
      </w:r>
      <w:r>
        <w:rPr>
          <w:rFonts w:ascii="Times New Roman" w:hAnsi="Times New Roman" w:cs="Times New Roman" w:eastAsia="Times New Roman"/>
          <w:i/>
          <w:iCs/>
          <w:sz w:val="24"/>
          <w:szCs w:val="24"/>
        </w:rPr>
        <w:t xml:space="preserve">Software Impacts</w:t>
      </w:r>
      <w:r>
        <w:rPr>
          <w:rFonts w:ascii="Times New Roman" w:hAnsi="Times New Roman" w:cs="Times New Roman" w:eastAsia="Times New Roman"/>
          <w:sz w:val="24"/>
          <w:szCs w:val="24"/>
        </w:rPr>
        <w:t xml:space="preserve">, vol. 17, p. 100556, 2023.</w:t>
      </w:r>
    </w:p>
    <w:p>
      <w:pPr>
        <w:spacing w:before="0" w:after="100" w:line="276" w:lineRule="auto"/>
        <w:ind w:left="567" w:hanging="567"/>
        <w:jc w:val="both"/>
      </w:pPr>
      <w:r>
        <w:rPr>
          <w:rFonts w:ascii="Times New Roman" w:hAnsi="Times New Roman" w:cs="Times New Roman" w:eastAsia="Times New Roman"/>
          <w:sz w:val="24"/>
          <w:szCs w:val="24"/>
        </w:rPr>
        <w:t xml:space="preserve">[16]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Datasets used (all CC BY 4.0): German Bundestag, Zenodo record 16811928 (H. Diers, V. Peeva, C. Rennert, W. M. P. van der Aalst); Enron e-mail OCEL, Zenodo 21989732 (A. Berti); Ethereum execution data, Zenodo 21989580 (A. Berti); Age of Empires II, Zenodo 13365584 (L. Liss, N. Elbert, C. M. Flath); Angular commits, Zenodo 8430332 (M. Pegoraro); CROP, Zenodo 3599150 (M. Paixao, J. Krinke, D. Han, M. Harman); OULAD, UCI Machine Learning Repository, doi:10.24432/C5KK69.</w:t>
      </w:r>
    </w:p>
    <w:p>
      <w:pPr>
        <w:keepNext/>
        <w:pageBreakBefore/>
        <w:spacing w:before="0" w:after="240" w:line="276" w:lineRule="auto"/>
        <w:jc w:val="center"/>
        <w:outlineLvl w:val="0"/>
      </w:pPr>
      <w:bookmarkStart w:id="1090" w:name="_Toc_appA"/>
      <w:r>
        <w:rPr>
          <w:rFonts w:ascii="Times New Roman" w:hAnsi="Times New Roman" w:cs="Times New Roman" w:eastAsia="Times New Roman"/>
          <w:b/>
          <w:bCs/>
          <w:sz w:val="28"/>
          <w:szCs w:val="28"/>
        </w:rPr>
        <w:t xml:space="preserve">APPENDIX A - SAMPLE CODE</w:t>
      </w:r>
      <w:bookmarkEnd w:id="1090"/>
    </w:p>
    <w:p>
      <w:pPr>
        <w:spacing w:before="0" w:after="160" w:line="276" w:lineRule="auto"/>
        <w:jc w:val="both"/>
      </w:pPr>
      <w:r>
        <w:rPr>
          <w:rFonts w:ascii="Times New Roman" w:hAnsi="Times New Roman" w:cs="Times New Roman" w:eastAsia="Times New Roman"/>
          <w:i/>
          <w:iCs/>
          <w:sz w:val="22"/>
          <w:szCs w:val="22"/>
        </w:rPr>
        <w:t xml:space="preserve">The listings are copied from the repository by a script, so they are the code that produced the results. Long lines are wrapped for printing, and file names are relative to the </w:t>
      </w:r>
      <w:r>
        <w:rPr>
          <w:rFonts w:ascii="Courier New" w:hAnsi="Courier New" w:cs="Courier New" w:eastAsia="Courier New"/>
          <w:sz w:val="20"/>
          <w:szCs w:val="20"/>
        </w:rPr>
        <w:t xml:space="preserve">realdata/src</w:t>
      </w:r>
      <w:r>
        <w:rPr>
          <w:rFonts w:ascii="Times New Roman" w:hAnsi="Times New Roman" w:cs="Times New Roman" w:eastAsia="Times New Roman"/>
          <w:i/>
          <w:iCs/>
          <w:sz w:val="22"/>
          <w:szCs w:val="22"/>
        </w:rPr>
        <w:t xml:space="preserve"> directory.</w:t>
      </w:r>
    </w:p>
    <w:p>
      <w:pPr>
        <w:keepNext/>
        <w:spacing w:before="100" w:after="60" w:line="276" w:lineRule="auto"/>
      </w:pPr>
      <w:r>
        <w:rPr>
          <w:rFonts w:ascii="Times New Roman" w:hAnsi="Times New Roman" w:cs="Times New Roman" w:eastAsia="Times New Roman"/>
          <w:b/>
          <w:bCs/>
          <w:sz w:val="24"/>
          <w:szCs w:val="24"/>
        </w:rPr>
        <w:t xml:space="preserve">A.1  Case-centric flattening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flatten(ocel: Ocel, case_type: str) -&gt; pd.DataFrame: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"""Case-centric flattening: one row per (event, object of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Mirrors pm4py's ``ocel_flattening``: events related to several objects of the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 type are repeated (convergence); events with none are dropped (deficiency);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only event-level attributes survive, never attributes or identities of other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objects.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 = rel.merge(ocel.events, on="eid", how="left").rename(columns={"oid":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flat.sort_values(["case_id", "timestamp", "eid"],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kind="stable").reset_index(drop=True)</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A.2  Deficiency, convergence and divergence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flattening_stats(ocel: Ocel, case_type: str)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 convergence and divergence for one case notion."""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n_events = len(ocel.events)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rel_t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covered = rel_t["eid"].nunique()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per_event = rel_t.groupby("eid")["oid"].nunique()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"case_type":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"cases": int(rel_t["oid"].nunique()),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"events": n_events,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"flat_rows": int(len(rel_t)),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"row_multiplier": round(len(rel_t) / n_events, 3)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"deficiency_share": round(1 - covered / n_events, 4)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"convergence_share": round(float((per_event &gt; 1).mean()), 4) if covered else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Divergence: within a case, the same activity occurs &gt;= 2 times and the repeated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events differ in the set of objects of at least one other 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other = ocel.relations[ocel.relations["otype"] != case_type][["eid", "otype",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other.empty or rel_t.empty: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 = ocel.events[["eid", "activity"]]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rel_t.merge(act, on="eid")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reps = case_events.groupby(["oid", "activity"])["eid"].transform("count") &gt; 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case_events[reps]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case_events.empty: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total_pairs = case_events[["oid",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sig = (other.sort_values(["eid", "otype", "oid"]).groupby(["eid",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"otype"])["oid"].agg(lambda s: "|".join(s)).reset_index())</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merged = case_events.merge(sig, on="eid", how="left")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 = merged.groupby(["oid_x", "activity", "otype"])["oid_y"].nunique()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diverging_pairs = diverging[diverging &gt; 1].reset_index()[["oid_x",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round(diverging_pairs / total_pairs,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A.3  Rank agreement helpers (consequence.py)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spearman(a: np.ndarray, b: np.ndarray) -&gt; float |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len(a) &lt; 3 or np.ptp(a) == 0 or np.ptp(b) == 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round(float(spearmanr(a, b).statistic),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topk_overlap(ref: np.ndarray, other: np.ndarray, k: int) -&gt; int: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"""Size of the intersection of the top-k index sets (ties broken by index,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deterministic)."""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 = min(k, len(ref))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 = lambda x: set(np.lexsort((np.arange(len(x)), -x))[:k])  # noqa: E731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len(top(ref) &amp; top(other))</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variant_summary(seqs: pd.Series)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vc = seqs.value_counts()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{"cases": int(len(seqs)), "variants": int(len(vc)), "variants_per_case":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round(len(vc) / len(seqs),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"top10_variant_coverage": round(float(vc.head(10).sum() / len(seqs)), 4)}</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A.4  Integrity check on a Zenodo download (fetch_sources.py)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fetch_zenodo(src: dict, out_dir: Path) -&gt; list[dict]: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 = get_json(f"https://zenodo.org/api/records/{src['record']}")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index = {f["key"]: f for f in rec.get("files",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name in src["files"]: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meta = index.get(name)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meta is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not listed in record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url = meta.get("links", {}).get("self") or f"https://zenodo.org/api/records/{src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['record']}/files/{urllib.parse.quote(name)}/content"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 = out_dir / 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print(f"[{src['id']}] {name} ({meta['size'] / 1e6:.1f} MB) ...", flush=True)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md5, sha, size = stream(url, dest)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expected = meta.get("checksum", "").split(":", 1)[-1]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size != meta["size"] or (expected and md5 !=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dest.unlink(missing_ok=True)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failed integrity check (size {size}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vs {meta['size']}, md5 {md5} vs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rows.append({"file": name, "bytes": size, "sha256": sha, "md5_verified":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bool(expected)})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rows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A.5  Safe extraction of archives (extract_archives.py)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main() -&gt;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archive, (target, skip) in JOBS.items():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 dst = RAW / archive, RAW /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not src.exists():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print(f"missing: {archive}")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dst.exists():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print(f"exists, skipping: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with zipfile.ZipFile(src) as z:</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bad = [i.filename for i in z.infolist() if i.filename.startswith("/") or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in i.filename.split("/")]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bad: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SystemExit(f"{archive}: unsafe member paths {bad[:3]}")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dst.mkdir(parents=True)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info in z.infolist():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info.filename not in skip:</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z.extract(info, dst)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print(f"extracted {archive} -&gt; {target}")</w:t>
      </w:r>
    </w:p>
    <w:p>
      <w:pPr>
        <w:spacing w:before="0" w:after="120" w:line="240" w:lineRule="auto"/>
      </w:pPr>
    </w:p>
    <w:sectPr>
      <w:headerReference w:type="default" r:id="rId11"/>
      <w:footerReference w:type="default" r:id="rId10"/>
      <w:pgSz w:w="11910" w:h="16840"/>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abstractNum w:abstractNumId="90">
    <w:multiLevelType w:val="hybridMultilevel"/>
    <w:lvl w:ilvl="0">
      <w:start w:val="1"/>
      <w:numFmt w:val="bullet"/>
      <w:lvlText w:val="•"/>
      <w:lvlJc w:val="left"/>
      <w:pPr>
        <w:ind w:left="720" w:hanging="360"/>
      </w:pPr>
      <w:rPr>
        <w:rFonts w:ascii="Times New Roman" w:hAnsi="Times New Roman" w:cs="Times New Roman" w:hint="default"/>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Img1" Type="http://schemas.openxmlformats.org/officeDocument/2006/relationships/image" Target="media/fig_timeline.png"/><Relationship Id="rIdImg2" Type="http://schemas.openxmlformats.org/officeDocument/2006/relationships/image" Target="media/fig_architecture.png"/><Relationship Id="rIdImg3" Type="http://schemas.openxmlformats.org/officeDocument/2006/relationships/image" Target="media/fig_dfd0.png"/><Relationship Id="rIdImg4" Type="http://schemas.openxmlformats.org/officeDocument/2006/relationships/image" Target="media/fig_dfd1.png"/><Relationship Id="rIdImg5" Type="http://schemas.openxmlformats.org/officeDocument/2006/relationships/image" Target="media/fig_usecase.png"/><Relationship Id="rIdImg6" Type="http://schemas.openxmlformats.org/officeDocument/2006/relationships/image" Target="media/fig_class.png"/><Relationship Id="rIdImg7" Type="http://schemas.openxmlformats.org/officeDocument/2006/relationships/image" Target="media/fig_sequence.png"/><Relationship Id="rIdImg8" Type="http://schemas.openxmlformats.org/officeDocument/2006/relationships/image" Target="media/fig_capstone_schema.png"/><Relationship Id="rIdImg9" Type="http://schemas.openxmlformats.org/officeDocument/2006/relationships/image" Target="media/fig_regimes.png"/><Relationship Id="rIdImg10" Type="http://schemas.openxmlformats.org/officeDocument/2006/relationships/image" Target="media/fig_coupling.png"/><Relationship Id="rIdImg11" Type="http://schemas.openxmlformats.org/officeDocument/2006/relationships/image" Target="media/fig_rank_activity.png"/><Relationship Id="rIdImg12" Type="http://schemas.openxmlformats.org/officeDocument/2006/relationships/image" Target="media/fig_rank_entity.png"/><Relationship Id="rIdImg13" Type="http://schemas.openxmlformats.org/officeDocument/2006/relationships/image" Target="media/fig_spurious.png"/><Relationship Id="rIdImg14" Type="http://schemas.openxmlformats.org/officeDocument/2006/relationships/image" Target="media/fig_discover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Object-Centric Event Log Mining for Academic Capstone Processes: A Native OCEL 2.0 Approach</dc:title>
  <dc:subject/>
  <dc:creator>Team 1, BCSE497J</dc:creator>
  <cp:keywords/>
  <dc:description/>
  <cp:lastModifiedBy>Team 1, BCSE497J</cp:lastModifiedBy>
  <cp:revision>4</cp:revision>
  <dcterms:created xsi:type="dcterms:W3CDTF">2026-10-27T00:00:00Z</dcterms:created>
  <dcterms:modified xsi:type="dcterms:W3CDTF">2026-10-27T00:00:00Z</dcterms:modified>
</cp:coreProperties>
</file>