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color w:val="1F3B57"/>
          <w:sz w:val="38"/>
        </w:rPr>
        <w:t>Healthcare AI System — Executive Insights Report</w:t>
      </w:r>
    </w:p>
    <w:p>
      <w:pPr>
        <w:spacing w:after="40" w:before="0"/>
      </w:pPr>
      <w:r>
        <w:rPr>
          <w:i/>
          <w:color w:val="1E88E5"/>
          <w:sz w:val="23"/>
        </w:rPr>
        <w:t>Predictive Visit-Risk &amp; Insurance Claim-Outcome Classification</w:t>
      </w:r>
    </w:p>
    <w:p>
      <w:pPr>
        <w:spacing w:after="120" w:before="0"/>
      </w:pPr>
      <w:r>
        <w:rPr>
          <w:color w:val="555555"/>
          <w:sz w:val="18"/>
        </w:rPr>
        <w:t>Prepared for Hospital Leadership  ·  June 2026  ·  Data period: Jan 2025 – Jan 2026 (25,000 visits)</w:t>
      </w:r>
    </w:p>
    <w:p>
      <w:pPr>
        <w:spacing w:after="80" w:before="40"/>
        <w:pBdr>
          <w:bottom w:val="single" w:sz="6" w:space="2" w:color="1E88E5"/>
        </w:pBdr>
      </w:pPr>
      <w:r>
        <w:rPr>
          <w:b/>
          <w:color w:val="1F3B57"/>
          <w:sz w:val="26"/>
        </w:rPr>
        <w:t>Executive Summary</w:t>
      </w:r>
    </w:p>
    <w:p>
      <w:pPr>
        <w:spacing w:after="60" w:before="0"/>
      </w:pPr>
      <w:r>
        <w:rPr>
          <w:sz w:val="21"/>
        </w:rPr>
        <w:t>Across 25,000 hospital visits totalling ₹521.8 million in billed charges, two production-ready AI models now flag high-risk visits for clinical triage and predict insurance claim rejections before submission. The system targets two pressure points for leadership: patient-safety triage and revenue leakage. On held-out recent data the claim model recovers an estimated ₹7.6 million of at-risk revenue per quarter (≈₹38 million annualised) by catching rejections early, while the risk model now identifies 70% of high-risk visits versus 13% before tuning. Both models are deployed as a governed, auditable API and are recommended for a sponsored operational pilot.</w:t>
      </w:r>
    </w:p>
    <w:p>
      <w:pPr>
        <w:spacing w:after="80" w:before="200"/>
        <w:pBdr>
          <w:bottom w:val="single" w:sz="6" w:space="2" w:color="1E88E5"/>
        </w:pBdr>
      </w:pPr>
      <w:r>
        <w:rPr>
          <w:b/>
          <w:color w:val="1F3B57"/>
          <w:sz w:val="26"/>
        </w:rPr>
        <w:t>Key Operational &amp; Financial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4176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4752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Business Implication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Claim rejections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15.2% of claims rejected (₹74.9M)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Direct revenue leakage; largely preventable</w:t>
            </w:r>
          </w:p>
        </w:tc>
      </w:tr>
      <w:tr>
        <w:tc>
          <w:tcPr>
            <w:tcW w:type="dxa" w:w="2304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Claims pending</w:t>
            </w:r>
          </w:p>
        </w:tc>
        <w:tc>
          <w:tcPr>
            <w:tcW w:type="dxa" w:w="4176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25.1% pending (₹127.7M tied up)</w:t>
            </w:r>
          </w:p>
        </w:tc>
        <w:tc>
          <w:tcPr>
            <w:tcW w:type="dxa" w:w="4752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Cash-flow drag from slow adjudication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Open exposure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₹202.6M in rejected + pending claims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Working-capital risk concentrated pre-payment</w:t>
            </w:r>
          </w:p>
        </w:tc>
      </w:tr>
      <w:tr>
        <w:tc>
          <w:tcPr>
            <w:tcW w:type="dxa" w:w="2304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High-risk visits</w:t>
            </w:r>
          </w:p>
        </w:tc>
        <w:tc>
          <w:tcPr>
            <w:tcW w:type="dxa" w:w="4176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20.1% of visits are High risk</w:t>
            </w:r>
          </w:p>
        </w:tc>
        <w:tc>
          <w:tcPr>
            <w:tcW w:type="dxa" w:w="4752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Concentrated clinical &amp; resource demand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Avg rejected claim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₹19,723 per rejection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Each missed catch is material</w:t>
            </w:r>
          </w:p>
        </w:tc>
      </w:tr>
      <w:tr>
        <w:tc>
          <w:tcPr>
            <w:tcW w:type="dxa" w:w="2304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Payer concentration</w:t>
            </w:r>
          </w:p>
        </w:tc>
        <w:tc>
          <w:tcPr>
            <w:tcW w:type="dxa" w:w="4176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4 insurers, 6 clinical departments</w:t>
            </w:r>
          </w:p>
        </w:tc>
        <w:tc>
          <w:tcPr>
            <w:tcW w:type="dxa" w:w="4752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Rejection patterns vary by payer/department</w:t>
            </w:r>
          </w:p>
        </w:tc>
      </w:tr>
    </w:tbl>
    <w:p>
      <w:pPr>
        <w:spacing w:after="40" w:before="0"/>
      </w:pPr>
    </w:p>
    <w:p>
      <w:pPr>
        <w:spacing w:after="80" w:before="200"/>
        <w:pBdr>
          <w:bottom w:val="single" w:sz="6" w:space="2" w:color="1E88E5"/>
        </w:pBdr>
      </w:pPr>
      <w:r>
        <w:rPr>
          <w:b/>
          <w:color w:val="1F3B57"/>
          <w:sz w:val="26"/>
        </w:rPr>
        <w:t>Model Impact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888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Business Purpose</w:t>
            </w:r>
          </w:p>
        </w:tc>
        <w:tc>
          <w:tcPr>
            <w:tcW w:type="dxa" w:w="3744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Before → After (key metric)</w:t>
            </w:r>
          </w:p>
        </w:tc>
        <w:tc>
          <w:tcPr>
            <w:tcW w:type="dxa" w:w="1440"/>
            <w:shd w:val="clear" w:color="auto" w:fill="1F3B5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A — Visit Risk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Triage Low/Med/High risk visits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High-risk recall 13% → 70%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E7D32"/>
                <w:sz w:val="19"/>
              </w:rPr>
              <w:t>Target met</w:t>
            </w:r>
          </w:p>
        </w:tc>
      </w:tr>
      <w:tr>
        <w:tc>
          <w:tcPr>
            <w:tcW w:type="dxa" w:w="2160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B — Claim Outcome</w:t>
            </w:r>
          </w:p>
        </w:tc>
        <w:tc>
          <w:tcPr>
            <w:tcW w:type="dxa" w:w="3888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Predict Paid/Pending/Rejected pre-submission</w:t>
            </w:r>
          </w:p>
        </w:tc>
        <w:tc>
          <w:tcPr>
            <w:tcW w:type="dxa" w:w="3744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Rejected recall 12% → 65%</w:t>
            </w:r>
          </w:p>
        </w:tc>
        <w:tc>
          <w:tcPr>
            <w:tcW w:type="dxa" w:w="1440"/>
            <w:shd w:val="clear" w:color="auto" w:fill="EAF2F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E7D32"/>
                <w:sz w:val="19"/>
              </w:rPr>
              <w:t>Target met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Reliability (both)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Stability on future data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sz w:val="19"/>
              </w:rPr>
              <w:t>Train-test gap 0.29/0.13 → 0.01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20" w:before="20"/>
            </w:pPr>
            <w:r/>
            <w:r>
              <w:rPr>
                <w:b/>
                <w:color w:val="2E7D32"/>
                <w:sz w:val="19"/>
              </w:rPr>
              <w:t>Overfit fixed</w:t>
            </w:r>
          </w:p>
        </w:tc>
      </w:tr>
    </w:tbl>
    <w:p>
      <w:pPr>
        <w:spacing w:after="40" w:before="0"/>
      </w:pPr>
    </w:p>
    <w:p>
      <w:pPr>
        <w:spacing w:after="60" w:before="0"/>
      </w:pPr>
      <w:r>
        <w:rPr>
          <w:b/>
          <w:sz w:val="21"/>
        </w:rPr>
        <w:t xml:space="preserve">Quantified value:  </w:t>
      </w:r>
      <w:r>
        <w:rPr>
          <w:sz w:val="21"/>
        </w:rPr>
        <w:t xml:space="preserve">Estimated financial impact (claim model): early detection of rejections lowers missed-rejection revenue from ₹12.6M to ₹5.0M on the latest test window — ₹7.6M recovered per quarter, ≈₹38M annualised. </w:t>
      </w:r>
    </w:p>
    <w:p>
      <w:pPr>
        <w:spacing w:after="60" w:before="0"/>
      </w:pPr>
      <w:r>
        <w:rPr>
          <w:b/>
          <w:sz w:val="21"/>
        </w:rPr>
        <w:t xml:space="preserve">Design note:  </w:t>
      </w:r>
      <w:r>
        <w:rPr>
          <w:sz w:val="21"/>
        </w:rPr>
        <w:t>Models prioritise catching the costly minority cases (high-risk patients, rejected claims), accepting more review alerts in exchange — a deliberate, leadership-approved trade-off favouring safety and revenue protection.</w:t>
      </w:r>
    </w:p>
    <w:p>
      <w:pPr>
        <w:spacing w:after="80" w:before="200"/>
        <w:pBdr>
          <w:bottom w:val="single" w:sz="6" w:space="2" w:color="1E88E5"/>
        </w:pBdr>
      </w:pPr>
      <w:r>
        <w:rPr>
          <w:b/>
          <w:color w:val="1F3B57"/>
          <w:sz w:val="26"/>
        </w:rPr>
        <w:t>System Architecture &amp; Governance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 xml:space="preserve">Deployment:  </w:t>
      </w:r>
      <w:r>
        <w:rPr>
          <w:sz w:val="21"/>
        </w:rPr>
        <w:t>Real-time FastAPI prediction service (containerised, deployable to AWS ECS Fargate) serving both models with schema validation and sub-100 ms latency.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 xml:space="preserve">Traceability:  </w:t>
      </w:r>
      <w:r>
        <w:rPr>
          <w:sz w:val="21"/>
        </w:rPr>
        <w:t>Every prediction is logged with a unique ID, model version, and a privacy-safe feature hash — a full, PHI-free audit trail for appeals and compliance.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 xml:space="preserve">Monitoring:  </w:t>
      </w:r>
      <w:r>
        <w:rPr>
          <w:sz w:val="21"/>
        </w:rPr>
        <w:t>Automated data-validation, feature/prediction drift detection (PSI), and a documented retraining policy keep the system reliable as payer behaviour and operations evolve.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 xml:space="preserve">Human oversight:  </w:t>
      </w:r>
      <w:r>
        <w:rPr>
          <w:sz w:val="21"/>
        </w:rPr>
        <w:t>Both models are advisory; a qualified clinician or billing specialist signs off every consequential decision. Fairness is checked across gender, city, and insurer at each retraining.</w:t>
      </w:r>
    </w:p>
    <w:p>
      <w:pPr>
        <w:spacing w:after="80" w:before="200"/>
        <w:pBdr>
          <w:bottom w:val="single" w:sz="6" w:space="2" w:color="1E88E5"/>
        </w:pBdr>
      </w:pPr>
      <w:r>
        <w:rPr>
          <w:b/>
          <w:color w:val="1F3B57"/>
          <w:sz w:val="26"/>
        </w:rPr>
        <w:t>Business Recommendations for Leadership</w:t>
      </w:r>
    </w:p>
    <w:p>
      <w:pPr>
        <w:spacing w:after="60" w:before="0"/>
        <w:ind w:left="259"/>
      </w:pPr>
      <w:r>
        <w:rPr>
          <w:b/>
          <w:color w:val="1E88E5"/>
          <w:sz w:val="21"/>
        </w:rPr>
        <w:t xml:space="preserve">1.  </w:t>
      </w:r>
      <w:r>
        <w:rPr>
          <w:b/>
          <w:sz w:val="21"/>
        </w:rPr>
        <w:t>Sponsor a 90-day operational pilot.</w:t>
      </w:r>
      <w:r>
        <w:rPr>
          <w:sz w:val="21"/>
        </w:rPr>
        <w:t xml:space="preserve"> Deploy the claim model in the revenue-cycle workflow and the risk model in triage for one or two departments, with live KPI tracking against the ₹38M annualised target.</w:t>
      </w:r>
    </w:p>
    <w:p>
      <w:pPr>
        <w:spacing w:after="60" w:before="0"/>
        <w:ind w:left="259"/>
      </w:pPr>
      <w:r>
        <w:rPr>
          <w:b/>
          <w:color w:val="1E88E5"/>
          <w:sz w:val="21"/>
        </w:rPr>
        <w:t xml:space="preserve">2.  </w:t>
      </w:r>
      <w:r>
        <w:rPr>
          <w:b/>
          <w:sz w:val="21"/>
        </w:rPr>
        <w:t>Stand up a denial-prevention queue.</w:t>
      </w:r>
      <w:r>
        <w:rPr>
          <w:sz w:val="21"/>
        </w:rPr>
        <w:t xml:space="preserve"> Route claims flagged 'likely rejected' to billing specialists for correction before submission — the most direct lever on the ₹74.9M rejection leakage.</w:t>
      </w:r>
    </w:p>
    <w:p>
      <w:pPr>
        <w:spacing w:after="60" w:before="0"/>
        <w:ind w:left="259"/>
      </w:pPr>
      <w:r>
        <w:rPr>
          <w:b/>
          <w:color w:val="1E88E5"/>
          <w:sz w:val="21"/>
        </w:rPr>
        <w:t xml:space="preserve">3.  </w:t>
      </w:r>
      <w:r>
        <w:rPr>
          <w:b/>
          <w:sz w:val="21"/>
        </w:rPr>
        <w:t>Prioritise high-payer-rejection segments.</w:t>
      </w:r>
      <w:r>
        <w:rPr>
          <w:sz w:val="21"/>
        </w:rPr>
        <w:t xml:space="preserve"> Focus first on the insurer/department combinations with the highest rejection rates to maximise early ROI; consider per-insurer model tuning in phase two.</w:t>
      </w:r>
    </w:p>
    <w:p>
      <w:pPr>
        <w:spacing w:after="60" w:before="0"/>
        <w:ind w:left="259"/>
      </w:pPr>
      <w:r>
        <w:rPr>
          <w:b/>
          <w:color w:val="1E88E5"/>
          <w:sz w:val="21"/>
        </w:rPr>
        <w:t xml:space="preserve">4.  </w:t>
      </w:r>
      <w:r>
        <w:rPr>
          <w:b/>
          <w:sz w:val="21"/>
        </w:rPr>
        <w:t>Fund the governance &amp; monitoring function.</w:t>
      </w:r>
      <w:r>
        <w:rPr>
          <w:sz w:val="21"/>
        </w:rPr>
        <w:t xml:space="preserve"> Maintain monthly drift reviews and quarterly retraining so performance holds as conditions change; this protects the realised savings.</w:t>
      </w:r>
    </w:p>
    <w:p>
      <w:pPr>
        <w:spacing w:after="60" w:before="0"/>
        <w:ind w:left="259"/>
      </w:pPr>
      <w:r>
        <w:rPr>
          <w:b/>
          <w:color w:val="1E88E5"/>
          <w:sz w:val="21"/>
        </w:rPr>
        <w:t xml:space="preserve">5.  </w:t>
      </w:r>
      <w:r>
        <w:rPr>
          <w:b/>
          <w:sz w:val="21"/>
        </w:rPr>
        <w:t>Re-evaluate and scale after the pilot.</w:t>
      </w:r>
      <w:r>
        <w:rPr>
          <w:sz w:val="21"/>
        </w:rPr>
        <w:t xml:space="preserve"> Use measured pilot outcomes to approve hospital-wide rollout and extend the approach to additional revenue and clinical workflows.</w:t>
      </w:r>
    </w:p>
    <w:p>
      <w:pPr>
        <w:spacing w:after="0" w:before="160"/>
      </w:pPr>
      <w:r>
        <w:rPr>
          <w:i/>
          <w:color w:val="1F3B57"/>
          <w:sz w:val="20"/>
        </w:rPr>
        <w:t>Recommendation: approve the sponsored pilot. The system is technically validated, governed, and positioned to protect patient safety and recover material revenue with low operational risk.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