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color w:val="1F3B57"/>
          <w:sz w:val="36"/>
        </w:rPr>
        <w:t>Healthcare AI System — Detailed Insights Report</w:t>
      </w:r>
    </w:p>
    <w:p>
      <w:pPr>
        <w:spacing w:after="40" w:before="0"/>
      </w:pPr>
      <w:r>
        <w:rPr>
          <w:i/>
          <w:color w:val="1E88E5"/>
          <w:sz w:val="22"/>
        </w:rPr>
        <w:t>Predictive Visit-Risk &amp; Insurance Claim-Outcome Classification — Full Project Consolidation</w:t>
      </w:r>
    </w:p>
    <w:p>
      <w:pPr>
        <w:spacing w:after="100" w:before="0"/>
      </w:pPr>
      <w:r>
        <w:rPr>
          <w:color w:val="555555"/>
          <w:sz w:val="17"/>
        </w:rPr>
        <w:t>Prepared for Hospital Leadership  ·  June 2026  ·  Data: 25,000 visits, Jan 2025 – Jan 2026</w:t>
      </w:r>
    </w:p>
    <w:p>
      <w:pPr>
        <w:spacing w:after="60" w:before="40"/>
        <w:pBdr>
          <w:bottom w:val="single" w:sz="6" w:space="2" w:color="1E88E5"/>
        </w:pBdr>
      </w:pPr>
      <w:r>
        <w:rPr>
          <w:b/>
          <w:color w:val="1F3B57"/>
          <w:sz w:val="24"/>
        </w:rPr>
        <w:t>1.  Project Overview &amp; Objectives</w:t>
      </w:r>
    </w:p>
    <w:p>
      <w:pPr>
        <w:spacing w:after="60" w:before="0"/>
      </w:pPr>
      <w:r>
        <w:rPr>
          <w:sz w:val="20"/>
        </w:rPr>
        <w:t>This initiative delivers an end-to-end machine-learning system to support two high-value hospital decisions: (1) prioritising clinically and operationally high-risk visits at triage, and (2) predicting insurance claim outcomes before submission to curb revenue leakage. The project spans data engineering (SQL), exploratory analysis, model development and evaluation, production deployment, and ongoing monitoring and governance. This report consolidates findings and quantifies the business case.</w:t>
      </w:r>
    </w:p>
    <w:p>
      <w:pPr>
        <w:spacing w:after="60" w:before="160"/>
        <w:pBdr>
          <w:bottom w:val="single" w:sz="6" w:space="2" w:color="1E88E5"/>
        </w:pBdr>
      </w:pPr>
      <w:r>
        <w:rPr>
          <w:b/>
          <w:color w:val="1F3B57"/>
          <w:sz w:val="24"/>
        </w:rPr>
        <w:t>2.  Data Foundation</w:t>
      </w:r>
    </w:p>
    <w:p>
      <w:pPr>
        <w:spacing w:after="60" w:before="0"/>
      </w:pPr>
      <w:r>
        <w:rPr>
          <w:b/>
          <w:sz w:val="20"/>
        </w:rPr>
        <w:t xml:space="preserve">Source:  </w:t>
      </w:r>
      <w:r>
        <w:rPr>
          <w:sz w:val="20"/>
        </w:rPr>
        <w:t>The analysis draws on a hospital management database (patients, visits, and billing tables) covering 25,000 visits over a 12-month period, integrated and feature-engineered into a single modelling table.</w:t>
      </w:r>
    </w:p>
    <w:tbl>
      <w:tblPr>
        <w:tblW w:type="auto" w:w="0"/>
        <w:jc w:val="center"/>
        <w:tblLook w:firstColumn="1" w:firstRow="1" w:lastColumn="0" w:lastRow="0" w:noHBand="0" w:noVBand="1" w:val="04A0"/>
      </w:tblPr>
      <w:tblGrid>
        <w:gridCol w:w="5040"/>
        <w:gridCol w:w="5040"/>
      </w:tblGrid>
      <w:tr>
        <w:tc>
          <w:tcPr>
            <w:tcW w:type="dxa" w:w="2736"/>
            <w:shd w:val="clear" w:color="auto" w:fill="1F3B57"/>
            <w:tcMar>
              <w:top w:w="50" w:type="dxa"/>
              <w:bottom w:w="50" w:type="dxa"/>
              <w:left w:w="80" w:type="dxa"/>
              <w:right w:w="80" w:type="dxa"/>
            </w:tcMar>
          </w:tcPr>
          <w:p>
            <w:pPr>
              <w:spacing w:after="20" w:before="20"/>
            </w:pPr>
            <w:r/>
            <w:r>
              <w:rPr>
                <w:b/>
                <w:color w:val="FFFFFF"/>
                <w:sz w:val="19"/>
              </w:rPr>
              <w:t>Dimension</w:t>
            </w:r>
          </w:p>
        </w:tc>
        <w:tc>
          <w:tcPr>
            <w:tcW w:type="dxa" w:w="8640"/>
            <w:shd w:val="clear" w:color="auto" w:fill="1F3B57"/>
            <w:tcMar>
              <w:top w:w="50" w:type="dxa"/>
              <w:bottom w:w="50" w:type="dxa"/>
              <w:left w:w="80" w:type="dxa"/>
              <w:right w:w="80" w:type="dxa"/>
            </w:tcMar>
          </w:tcPr>
          <w:p>
            <w:pPr>
              <w:spacing w:after="20" w:before="20"/>
            </w:pPr>
            <w:r/>
            <w:r>
              <w:rPr>
                <w:b/>
                <w:color w:val="FFFFFF"/>
                <w:sz w:val="19"/>
              </w:rPr>
              <w:t>Detail</w:t>
            </w:r>
          </w:p>
        </w:tc>
      </w:tr>
      <w:tr>
        <w:tc>
          <w:tcPr>
            <w:tcW w:type="dxa" w:w="2736"/>
            <w:tcMar>
              <w:top w:w="50" w:type="dxa"/>
              <w:bottom w:w="50" w:type="dxa"/>
              <w:left w:w="80" w:type="dxa"/>
              <w:right w:w="80" w:type="dxa"/>
            </w:tcMar>
          </w:tcPr>
          <w:p>
            <w:pPr>
              <w:spacing w:after="20" w:before="20"/>
            </w:pPr>
            <w:r/>
            <w:r>
              <w:rPr>
                <w:sz w:val="18"/>
              </w:rPr>
              <w:t>Records / period</w:t>
            </w:r>
          </w:p>
        </w:tc>
        <w:tc>
          <w:tcPr>
            <w:tcW w:type="dxa" w:w="8640"/>
            <w:tcMar>
              <w:top w:w="50" w:type="dxa"/>
              <w:bottom w:w="50" w:type="dxa"/>
              <w:left w:w="80" w:type="dxa"/>
              <w:right w:w="80" w:type="dxa"/>
            </w:tcMar>
          </w:tcPr>
          <w:p>
            <w:pPr>
              <w:spacing w:after="20" w:before="20"/>
            </w:pPr>
            <w:r/>
            <w:r>
              <w:rPr>
                <w:sz w:val="18"/>
              </w:rPr>
              <w:t>25,000 visits · Jan 2025 – Jan 2026</w:t>
            </w:r>
          </w:p>
        </w:tc>
      </w:tr>
      <w:tr>
        <w:tc>
          <w:tcPr>
            <w:tcW w:type="dxa" w:w="2736"/>
            <w:shd w:val="clear" w:color="auto" w:fill="EAF2FB"/>
            <w:tcMar>
              <w:top w:w="50" w:type="dxa"/>
              <w:bottom w:w="50" w:type="dxa"/>
              <w:left w:w="80" w:type="dxa"/>
              <w:right w:w="80" w:type="dxa"/>
            </w:tcMar>
          </w:tcPr>
          <w:p>
            <w:pPr>
              <w:spacing w:after="20" w:before="20"/>
            </w:pPr>
            <w:r/>
            <w:r>
              <w:rPr>
                <w:sz w:val="18"/>
              </w:rPr>
              <w:t>Total billed value</w:t>
            </w:r>
          </w:p>
        </w:tc>
        <w:tc>
          <w:tcPr>
            <w:tcW w:type="dxa" w:w="8640"/>
            <w:shd w:val="clear" w:color="auto" w:fill="EAF2FB"/>
            <w:tcMar>
              <w:top w:w="50" w:type="dxa"/>
              <w:bottom w:w="50" w:type="dxa"/>
              <w:left w:w="80" w:type="dxa"/>
              <w:right w:w="80" w:type="dxa"/>
            </w:tcMar>
          </w:tcPr>
          <w:p>
            <w:pPr>
              <w:spacing w:after="20" w:before="20"/>
            </w:pPr>
            <w:r/>
            <w:r>
              <w:rPr>
                <w:sz w:val="18"/>
              </w:rPr>
              <w:t>₹521.8 million</w:t>
            </w:r>
          </w:p>
        </w:tc>
      </w:tr>
      <w:tr>
        <w:tc>
          <w:tcPr>
            <w:tcW w:type="dxa" w:w="2736"/>
            <w:tcMar>
              <w:top w:w="50" w:type="dxa"/>
              <w:bottom w:w="50" w:type="dxa"/>
              <w:left w:w="80" w:type="dxa"/>
              <w:right w:w="80" w:type="dxa"/>
            </w:tcMar>
          </w:tcPr>
          <w:p>
            <w:pPr>
              <w:spacing w:after="20" w:before="20"/>
            </w:pPr>
            <w:r/>
            <w:r>
              <w:rPr>
                <w:sz w:val="18"/>
              </w:rPr>
              <w:t>Clinical scope</w:t>
            </w:r>
          </w:p>
        </w:tc>
        <w:tc>
          <w:tcPr>
            <w:tcW w:type="dxa" w:w="8640"/>
            <w:tcMar>
              <w:top w:w="50" w:type="dxa"/>
              <w:bottom w:w="50" w:type="dxa"/>
              <w:left w:w="80" w:type="dxa"/>
              <w:right w:w="80" w:type="dxa"/>
            </w:tcMar>
          </w:tcPr>
          <w:p>
            <w:pPr>
              <w:spacing w:after="20" w:before="20"/>
            </w:pPr>
            <w:r/>
            <w:r>
              <w:rPr>
                <w:sz w:val="18"/>
              </w:rPr>
              <w:t>6 departments (Cardiology, ER, General, ICU, Neurology, Orthopedics)</w:t>
            </w:r>
          </w:p>
        </w:tc>
      </w:tr>
      <w:tr>
        <w:tc>
          <w:tcPr>
            <w:tcW w:type="dxa" w:w="2736"/>
            <w:shd w:val="clear" w:color="auto" w:fill="EAF2FB"/>
            <w:tcMar>
              <w:top w:w="50" w:type="dxa"/>
              <w:bottom w:w="50" w:type="dxa"/>
              <w:left w:w="80" w:type="dxa"/>
              <w:right w:w="80" w:type="dxa"/>
            </w:tcMar>
          </w:tcPr>
          <w:p>
            <w:pPr>
              <w:spacing w:after="20" w:before="20"/>
            </w:pPr>
            <w:r/>
            <w:r>
              <w:rPr>
                <w:sz w:val="18"/>
              </w:rPr>
              <w:t>Payers</w:t>
            </w:r>
          </w:p>
        </w:tc>
        <w:tc>
          <w:tcPr>
            <w:tcW w:type="dxa" w:w="8640"/>
            <w:shd w:val="clear" w:color="auto" w:fill="EAF2FB"/>
            <w:tcMar>
              <w:top w:w="50" w:type="dxa"/>
              <w:bottom w:w="50" w:type="dxa"/>
              <w:left w:w="80" w:type="dxa"/>
              <w:right w:w="80" w:type="dxa"/>
            </w:tcMar>
          </w:tcPr>
          <w:p>
            <w:pPr>
              <w:spacing w:after="20" w:before="20"/>
            </w:pPr>
            <w:r/>
            <w:r>
              <w:rPr>
                <w:sz w:val="18"/>
              </w:rPr>
              <w:t>4 insurers (CareOne, HealthPlus, MediCareX, SecureLife)</w:t>
            </w:r>
          </w:p>
        </w:tc>
      </w:tr>
      <w:tr>
        <w:tc>
          <w:tcPr>
            <w:tcW w:type="dxa" w:w="2736"/>
            <w:tcMar>
              <w:top w:w="50" w:type="dxa"/>
              <w:bottom w:w="50" w:type="dxa"/>
              <w:left w:w="80" w:type="dxa"/>
              <w:right w:w="80" w:type="dxa"/>
            </w:tcMar>
          </w:tcPr>
          <w:p>
            <w:pPr>
              <w:spacing w:after="20" w:before="20"/>
            </w:pPr>
            <w:r/>
            <w:r>
              <w:rPr>
                <w:sz w:val="18"/>
              </w:rPr>
              <w:t>Patient profile</w:t>
            </w:r>
          </w:p>
        </w:tc>
        <w:tc>
          <w:tcPr>
            <w:tcW w:type="dxa" w:w="8640"/>
            <w:tcMar>
              <w:top w:w="50" w:type="dxa"/>
              <w:bottom w:w="50" w:type="dxa"/>
              <w:left w:w="80" w:type="dxa"/>
              <w:right w:w="80" w:type="dxa"/>
            </w:tcMar>
          </w:tcPr>
          <w:p>
            <w:pPr>
              <w:spacing w:after="20" w:before="20"/>
            </w:pPr>
            <w:r/>
            <w:r>
              <w:rPr>
                <w:sz w:val="18"/>
              </w:rPr>
              <w:t>Avg age 44.8 · 50.3% with chronic conditions · avg LOS 19.6 h</w:t>
            </w:r>
          </w:p>
        </w:tc>
      </w:tr>
    </w:tbl>
    <w:p>
      <w:pPr>
        <w:spacing w:after="20" w:before="0"/>
      </w:pPr>
    </w:p>
    <w:p>
      <w:pPr>
        <w:spacing w:after="60" w:before="160"/>
        <w:pBdr>
          <w:bottom w:val="single" w:sz="6" w:space="2" w:color="1E88E5"/>
        </w:pBdr>
      </w:pPr>
      <w:r>
        <w:rPr>
          <w:b/>
          <w:color w:val="1F3B57"/>
          <w:sz w:val="24"/>
        </w:rPr>
        <w:t>3.  Key Operational &amp; Financial Findings</w:t>
      </w:r>
    </w:p>
    <w:tbl>
      <w:tblPr>
        <w:tblW w:type="auto" w:w="0"/>
        <w:jc w:val="center"/>
        <w:tblLook w:firstColumn="1" w:firstRow="1" w:lastColumn="0" w:lastRow="0" w:noHBand="0" w:noVBand="1" w:val="04A0"/>
      </w:tblPr>
      <w:tblGrid>
        <w:gridCol w:w="3360"/>
        <w:gridCol w:w="3360"/>
        <w:gridCol w:w="3360"/>
      </w:tblGrid>
      <w:tr>
        <w:tc>
          <w:tcPr>
            <w:tcW w:type="dxa" w:w="2304"/>
            <w:shd w:val="clear" w:color="auto" w:fill="1F3B57"/>
            <w:tcMar>
              <w:top w:w="50" w:type="dxa"/>
              <w:bottom w:w="50" w:type="dxa"/>
              <w:left w:w="80" w:type="dxa"/>
              <w:right w:w="80" w:type="dxa"/>
            </w:tcMar>
          </w:tcPr>
          <w:p>
            <w:pPr>
              <w:spacing w:after="20" w:before="20"/>
            </w:pPr>
            <w:r/>
            <w:r>
              <w:rPr>
                <w:b/>
                <w:color w:val="FFFFFF"/>
                <w:sz w:val="19"/>
              </w:rPr>
              <w:t>Indicator</w:t>
            </w:r>
          </w:p>
        </w:tc>
        <w:tc>
          <w:tcPr>
            <w:tcW w:type="dxa" w:w="4176"/>
            <w:shd w:val="clear" w:color="auto" w:fill="1F3B57"/>
            <w:tcMar>
              <w:top w:w="50" w:type="dxa"/>
              <w:bottom w:w="50" w:type="dxa"/>
              <w:left w:w="80" w:type="dxa"/>
              <w:right w:w="80" w:type="dxa"/>
            </w:tcMar>
          </w:tcPr>
          <w:p>
            <w:pPr>
              <w:spacing w:after="20" w:before="20"/>
            </w:pPr>
            <w:r/>
            <w:r>
              <w:rPr>
                <w:b/>
                <w:color w:val="FFFFFF"/>
                <w:sz w:val="19"/>
              </w:rPr>
              <w:t>Finding</w:t>
            </w:r>
          </w:p>
        </w:tc>
        <w:tc>
          <w:tcPr>
            <w:tcW w:type="dxa" w:w="4896"/>
            <w:shd w:val="clear" w:color="auto" w:fill="1F3B57"/>
            <w:tcMar>
              <w:top w:w="50" w:type="dxa"/>
              <w:bottom w:w="50" w:type="dxa"/>
              <w:left w:w="80" w:type="dxa"/>
              <w:right w:w="80" w:type="dxa"/>
            </w:tcMar>
          </w:tcPr>
          <w:p>
            <w:pPr>
              <w:spacing w:after="20" w:before="20"/>
            </w:pPr>
            <w:r/>
            <w:r>
              <w:rPr>
                <w:b/>
                <w:color w:val="FFFFFF"/>
                <w:sz w:val="19"/>
              </w:rPr>
              <w:t>Business Implication</w:t>
            </w:r>
          </w:p>
        </w:tc>
      </w:tr>
      <w:tr>
        <w:tc>
          <w:tcPr>
            <w:tcW w:type="dxa" w:w="2304"/>
            <w:tcMar>
              <w:top w:w="50" w:type="dxa"/>
              <w:bottom w:w="50" w:type="dxa"/>
              <w:left w:w="80" w:type="dxa"/>
              <w:right w:w="80" w:type="dxa"/>
            </w:tcMar>
          </w:tcPr>
          <w:p>
            <w:pPr>
              <w:spacing w:after="20" w:before="20"/>
            </w:pPr>
            <w:r/>
            <w:r>
              <w:rPr>
                <w:sz w:val="18"/>
              </w:rPr>
              <w:t>Claim rejections</w:t>
            </w:r>
          </w:p>
        </w:tc>
        <w:tc>
          <w:tcPr>
            <w:tcW w:type="dxa" w:w="4176"/>
            <w:tcMar>
              <w:top w:w="50" w:type="dxa"/>
              <w:bottom w:w="50" w:type="dxa"/>
              <w:left w:w="80" w:type="dxa"/>
              <w:right w:w="80" w:type="dxa"/>
            </w:tcMar>
          </w:tcPr>
          <w:p>
            <w:pPr>
              <w:spacing w:after="20" w:before="20"/>
            </w:pPr>
            <w:r/>
            <w:r>
              <w:rPr>
                <w:sz w:val="18"/>
              </w:rPr>
              <w:t>15.2% rejected · ₹74.9M</w:t>
            </w:r>
          </w:p>
        </w:tc>
        <w:tc>
          <w:tcPr>
            <w:tcW w:type="dxa" w:w="4896"/>
            <w:tcMar>
              <w:top w:w="50" w:type="dxa"/>
              <w:bottom w:w="50" w:type="dxa"/>
              <w:left w:w="80" w:type="dxa"/>
              <w:right w:w="80" w:type="dxa"/>
            </w:tcMar>
          </w:tcPr>
          <w:p>
            <w:pPr>
              <w:spacing w:after="20" w:before="20"/>
            </w:pPr>
            <w:r/>
            <w:r>
              <w:rPr>
                <w:sz w:val="18"/>
              </w:rPr>
              <w:t>Preventable revenue leakage</w:t>
            </w:r>
          </w:p>
        </w:tc>
      </w:tr>
      <w:tr>
        <w:tc>
          <w:tcPr>
            <w:tcW w:type="dxa" w:w="2304"/>
            <w:shd w:val="clear" w:color="auto" w:fill="EAF2FB"/>
            <w:tcMar>
              <w:top w:w="50" w:type="dxa"/>
              <w:bottom w:w="50" w:type="dxa"/>
              <w:left w:w="80" w:type="dxa"/>
              <w:right w:w="80" w:type="dxa"/>
            </w:tcMar>
          </w:tcPr>
          <w:p>
            <w:pPr>
              <w:spacing w:after="20" w:before="20"/>
            </w:pPr>
            <w:r/>
            <w:r>
              <w:rPr>
                <w:sz w:val="18"/>
              </w:rPr>
              <w:t>Claims pending</w:t>
            </w:r>
          </w:p>
        </w:tc>
        <w:tc>
          <w:tcPr>
            <w:tcW w:type="dxa" w:w="4176"/>
            <w:shd w:val="clear" w:color="auto" w:fill="EAF2FB"/>
            <w:tcMar>
              <w:top w:w="50" w:type="dxa"/>
              <w:bottom w:w="50" w:type="dxa"/>
              <w:left w:w="80" w:type="dxa"/>
              <w:right w:w="80" w:type="dxa"/>
            </w:tcMar>
          </w:tcPr>
          <w:p>
            <w:pPr>
              <w:spacing w:after="20" w:before="20"/>
            </w:pPr>
            <w:r/>
            <w:r>
              <w:rPr>
                <w:sz w:val="18"/>
              </w:rPr>
              <w:t>25.1% pending · ₹127.7M</w:t>
            </w:r>
          </w:p>
        </w:tc>
        <w:tc>
          <w:tcPr>
            <w:tcW w:type="dxa" w:w="4896"/>
            <w:shd w:val="clear" w:color="auto" w:fill="EAF2FB"/>
            <w:tcMar>
              <w:top w:w="50" w:type="dxa"/>
              <w:bottom w:w="50" w:type="dxa"/>
              <w:left w:w="80" w:type="dxa"/>
              <w:right w:w="80" w:type="dxa"/>
            </w:tcMar>
          </w:tcPr>
          <w:p>
            <w:pPr>
              <w:spacing w:after="20" w:before="20"/>
            </w:pPr>
            <w:r/>
            <w:r>
              <w:rPr>
                <w:sz w:val="18"/>
              </w:rPr>
              <w:t>Cash-flow drag from slow adjudication</w:t>
            </w:r>
          </w:p>
        </w:tc>
      </w:tr>
      <w:tr>
        <w:tc>
          <w:tcPr>
            <w:tcW w:type="dxa" w:w="2304"/>
            <w:tcMar>
              <w:top w:w="50" w:type="dxa"/>
              <w:bottom w:w="50" w:type="dxa"/>
              <w:left w:w="80" w:type="dxa"/>
              <w:right w:w="80" w:type="dxa"/>
            </w:tcMar>
          </w:tcPr>
          <w:p>
            <w:pPr>
              <w:spacing w:after="20" w:before="20"/>
            </w:pPr>
            <w:r/>
            <w:r>
              <w:rPr>
                <w:sz w:val="18"/>
              </w:rPr>
              <w:t>Open exposure</w:t>
            </w:r>
          </w:p>
        </w:tc>
        <w:tc>
          <w:tcPr>
            <w:tcW w:type="dxa" w:w="4176"/>
            <w:tcMar>
              <w:top w:w="50" w:type="dxa"/>
              <w:bottom w:w="50" w:type="dxa"/>
              <w:left w:w="80" w:type="dxa"/>
              <w:right w:w="80" w:type="dxa"/>
            </w:tcMar>
          </w:tcPr>
          <w:p>
            <w:pPr>
              <w:spacing w:after="20" w:before="20"/>
            </w:pPr>
            <w:r/>
            <w:r>
              <w:rPr>
                <w:sz w:val="18"/>
              </w:rPr>
              <w:t>₹202.6M (rejected + pending)</w:t>
            </w:r>
          </w:p>
        </w:tc>
        <w:tc>
          <w:tcPr>
            <w:tcW w:type="dxa" w:w="4896"/>
            <w:tcMar>
              <w:top w:w="50" w:type="dxa"/>
              <w:bottom w:w="50" w:type="dxa"/>
              <w:left w:w="80" w:type="dxa"/>
              <w:right w:w="80" w:type="dxa"/>
            </w:tcMar>
          </w:tcPr>
          <w:p>
            <w:pPr>
              <w:spacing w:after="20" w:before="20"/>
            </w:pPr>
            <w:r/>
            <w:r>
              <w:rPr>
                <w:sz w:val="18"/>
              </w:rPr>
              <w:t>Working capital at risk pre-payment</w:t>
            </w:r>
          </w:p>
        </w:tc>
      </w:tr>
      <w:tr>
        <w:tc>
          <w:tcPr>
            <w:tcW w:type="dxa" w:w="2304"/>
            <w:shd w:val="clear" w:color="auto" w:fill="EAF2FB"/>
            <w:tcMar>
              <w:top w:w="50" w:type="dxa"/>
              <w:bottom w:w="50" w:type="dxa"/>
              <w:left w:w="80" w:type="dxa"/>
              <w:right w:w="80" w:type="dxa"/>
            </w:tcMar>
          </w:tcPr>
          <w:p>
            <w:pPr>
              <w:spacing w:after="20" w:before="20"/>
            </w:pPr>
            <w:r/>
            <w:r>
              <w:rPr>
                <w:sz w:val="18"/>
              </w:rPr>
              <w:t>Rejection spread</w:t>
            </w:r>
          </w:p>
        </w:tc>
        <w:tc>
          <w:tcPr>
            <w:tcW w:type="dxa" w:w="4176"/>
            <w:shd w:val="clear" w:color="auto" w:fill="EAF2FB"/>
            <w:tcMar>
              <w:top w:w="50" w:type="dxa"/>
              <w:bottom w:w="50" w:type="dxa"/>
              <w:left w:w="80" w:type="dxa"/>
              <w:right w:w="80" w:type="dxa"/>
            </w:tcMar>
          </w:tcPr>
          <w:p>
            <w:pPr>
              <w:spacing w:after="20" w:before="20"/>
            </w:pPr>
            <w:r/>
            <w:r>
              <w:rPr>
                <w:sz w:val="18"/>
              </w:rPr>
              <w:t>14.6–15.7% across all payers &amp; depts</w:t>
            </w:r>
          </w:p>
        </w:tc>
        <w:tc>
          <w:tcPr>
            <w:tcW w:type="dxa" w:w="4896"/>
            <w:shd w:val="clear" w:color="auto" w:fill="EAF2FB"/>
            <w:tcMar>
              <w:top w:w="50" w:type="dxa"/>
              <w:bottom w:w="50" w:type="dxa"/>
              <w:left w:w="80" w:type="dxa"/>
              <w:right w:w="80" w:type="dxa"/>
            </w:tcMar>
          </w:tcPr>
          <w:p>
            <w:pPr>
              <w:spacing w:after="20" w:before="20"/>
            </w:pPr>
            <w:r/>
            <w:r>
              <w:rPr>
                <w:sz w:val="18"/>
              </w:rPr>
              <w:t>Systemic, not segment-specific</w:t>
            </w:r>
          </w:p>
        </w:tc>
      </w:tr>
      <w:tr>
        <w:tc>
          <w:tcPr>
            <w:tcW w:type="dxa" w:w="2304"/>
            <w:tcMar>
              <w:top w:w="50" w:type="dxa"/>
              <w:bottom w:w="50" w:type="dxa"/>
              <w:left w:w="80" w:type="dxa"/>
              <w:right w:w="80" w:type="dxa"/>
            </w:tcMar>
          </w:tcPr>
          <w:p>
            <w:pPr>
              <w:spacing w:after="20" w:before="20"/>
            </w:pPr>
            <w:r/>
            <w:r>
              <w:rPr>
                <w:sz w:val="18"/>
              </w:rPr>
              <w:t>High-risk visits</w:t>
            </w:r>
          </w:p>
        </w:tc>
        <w:tc>
          <w:tcPr>
            <w:tcW w:type="dxa" w:w="4176"/>
            <w:tcMar>
              <w:top w:w="50" w:type="dxa"/>
              <w:bottom w:w="50" w:type="dxa"/>
              <w:left w:w="80" w:type="dxa"/>
              <w:right w:w="80" w:type="dxa"/>
            </w:tcMar>
          </w:tcPr>
          <w:p>
            <w:pPr>
              <w:spacing w:after="20" w:before="20"/>
            </w:pPr>
            <w:r/>
            <w:r>
              <w:rPr>
                <w:sz w:val="18"/>
              </w:rPr>
              <w:t>20.1% of visits · evenly across depts</w:t>
            </w:r>
          </w:p>
        </w:tc>
        <w:tc>
          <w:tcPr>
            <w:tcW w:type="dxa" w:w="4896"/>
            <w:tcMar>
              <w:top w:w="50" w:type="dxa"/>
              <w:bottom w:w="50" w:type="dxa"/>
              <w:left w:w="80" w:type="dxa"/>
              <w:right w:w="80" w:type="dxa"/>
            </w:tcMar>
          </w:tcPr>
          <w:p>
            <w:pPr>
              <w:spacing w:after="20" w:before="20"/>
            </w:pPr>
            <w:r/>
            <w:r>
              <w:rPr>
                <w:sz w:val="18"/>
              </w:rPr>
              <w:t>Sustained triage &amp; resource demand</w:t>
            </w:r>
          </w:p>
        </w:tc>
      </w:tr>
      <w:tr>
        <w:tc>
          <w:tcPr>
            <w:tcW w:type="dxa" w:w="2304"/>
            <w:shd w:val="clear" w:color="auto" w:fill="EAF2FB"/>
            <w:tcMar>
              <w:top w:w="50" w:type="dxa"/>
              <w:bottom w:w="50" w:type="dxa"/>
              <w:left w:w="80" w:type="dxa"/>
              <w:right w:w="80" w:type="dxa"/>
            </w:tcMar>
          </w:tcPr>
          <w:p>
            <w:pPr>
              <w:spacing w:after="20" w:before="20"/>
            </w:pPr>
            <w:r/>
            <w:r>
              <w:rPr>
                <w:sz w:val="18"/>
              </w:rPr>
              <w:t>Payment cycle</w:t>
            </w:r>
          </w:p>
        </w:tc>
        <w:tc>
          <w:tcPr>
            <w:tcW w:type="dxa" w:w="4176"/>
            <w:shd w:val="clear" w:color="auto" w:fill="EAF2FB"/>
            <w:tcMar>
              <w:top w:w="50" w:type="dxa"/>
              <w:bottom w:w="50" w:type="dxa"/>
              <w:left w:w="80" w:type="dxa"/>
              <w:right w:w="80" w:type="dxa"/>
            </w:tcMar>
          </w:tcPr>
          <w:p>
            <w:pPr>
              <w:spacing w:after="20" w:before="20"/>
            </w:pPr>
            <w:r/>
            <w:r>
              <w:rPr>
                <w:sz w:val="18"/>
              </w:rPr>
              <w:t>Paid claims settle in ~12.5 days</w:t>
            </w:r>
          </w:p>
        </w:tc>
        <w:tc>
          <w:tcPr>
            <w:tcW w:type="dxa" w:w="4896"/>
            <w:shd w:val="clear" w:color="auto" w:fill="EAF2FB"/>
            <w:tcMar>
              <w:top w:w="50" w:type="dxa"/>
              <w:bottom w:w="50" w:type="dxa"/>
              <w:left w:w="80" w:type="dxa"/>
              <w:right w:w="80" w:type="dxa"/>
            </w:tcMar>
          </w:tcPr>
          <w:p>
            <w:pPr>
              <w:spacing w:after="20" w:before="20"/>
            </w:pPr>
            <w:r/>
            <w:r>
              <w:rPr>
                <w:sz w:val="18"/>
              </w:rPr>
              <w:t>Faster clean-claim flow protects cash</w:t>
            </w:r>
          </w:p>
        </w:tc>
      </w:tr>
    </w:tbl>
    <w:p>
      <w:pPr>
        <w:spacing w:after="20" w:before="0"/>
      </w:pPr>
    </w:p>
    <w:p>
      <w:pPr>
        <w:spacing w:after="60" w:before="0"/>
      </w:pPr>
      <w:r>
        <w:rPr>
          <w:b/>
          <w:sz w:val="20"/>
        </w:rPr>
        <w:t xml:space="preserve">Insight:  </w:t>
      </w:r>
      <w:r>
        <w:rPr>
          <w:sz w:val="20"/>
        </w:rPr>
        <w:t>Rejection rates are strikingly uniform across insurers (14.9–15.7%) and departments (14.6–15.6%), indicating a systemic, process-level driver rather than one problem payer. The lever is therefore hospital-wide pre-submission screening, applied to every claim.</w:t>
      </w:r>
    </w:p>
    <w:p>
      <w:pPr>
        <w:spacing w:after="60" w:before="160"/>
        <w:pBdr>
          <w:bottom w:val="single" w:sz="6" w:space="2" w:color="1E88E5"/>
        </w:pBdr>
      </w:pPr>
      <w:r>
        <w:rPr>
          <w:b/>
          <w:color w:val="1F3B57"/>
          <w:sz w:val="24"/>
        </w:rPr>
        <w:t>4.  Predictive Models — Approach</w:t>
      </w:r>
    </w:p>
    <w:p>
      <w:pPr>
        <w:pStyle w:val="ListBullet"/>
        <w:spacing w:after="60" w:before="0"/>
        <w:ind w:left="360"/>
      </w:pPr>
      <w:r>
        <w:rPr>
          <w:b/>
          <w:sz w:val="20"/>
        </w:rPr>
        <w:t xml:space="preserve">Model A — Visit Risk:  </w:t>
      </w:r>
      <w:r>
        <w:rPr>
          <w:sz w:val="20"/>
        </w:rPr>
        <w:t>Three-class classifier (Low/Medium/High) trained on clinical and operational features available at admission, using a leakage-safe time-based split and SMOTE to address class imbalance.</w:t>
      </w:r>
    </w:p>
    <w:p>
      <w:pPr>
        <w:pStyle w:val="ListBullet"/>
        <w:spacing w:after="60" w:before="0"/>
        <w:ind w:left="360"/>
      </w:pPr>
      <w:r>
        <w:rPr>
          <w:b/>
          <w:sz w:val="20"/>
        </w:rPr>
        <w:t xml:space="preserve">Model B — Claim Outcome:  </w:t>
      </w:r>
      <w:r>
        <w:rPr>
          <w:sz w:val="20"/>
        </w:rPr>
        <w:t>Three-class classifier (Paid/Pending/Rejected) using financial and operational predictors known before submission; decision threshold tuned to maximise capture of costly rejections.</w:t>
      </w:r>
    </w:p>
    <w:p>
      <w:pPr>
        <w:pStyle w:val="ListBullet"/>
        <w:spacing w:after="60" w:before="0"/>
        <w:ind w:left="360"/>
      </w:pPr>
      <w:r>
        <w:rPr>
          <w:b/>
          <w:sz w:val="20"/>
        </w:rPr>
        <w:t xml:space="preserve">Methodology:  </w:t>
      </w:r>
      <w:r>
        <w:rPr>
          <w:sz w:val="20"/>
        </w:rPr>
        <w:t>Time-based 80/20 split (no future leakage), SMOTE inside cross-validation folds, complexity controls to prevent overfitting, and probability-threshold tuning to hit business recall targets.</w:t>
      </w:r>
    </w:p>
    <w:p>
      <w:pPr>
        <w:spacing w:after="60" w:before="160"/>
        <w:pBdr>
          <w:bottom w:val="single" w:sz="6" w:space="2" w:color="1E88E5"/>
        </w:pBdr>
      </w:pPr>
      <w:r>
        <w:rPr>
          <w:b/>
          <w:color w:val="1F3B57"/>
          <w:sz w:val="24"/>
        </w:rPr>
        <w:t>5.  Model Performance &amp; Evaluation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3888"/>
            <w:shd w:val="clear" w:color="auto" w:fill="1F3B57"/>
            <w:tcMar>
              <w:top w:w="50" w:type="dxa"/>
              <w:bottom w:w="50" w:type="dxa"/>
              <w:left w:w="80" w:type="dxa"/>
              <w:right w:w="80" w:type="dxa"/>
            </w:tcMar>
          </w:tcPr>
          <w:p>
            <w:pPr>
              <w:spacing w:after="20" w:before="20"/>
            </w:pPr>
            <w:r/>
            <w:r>
              <w:rPr>
                <w:b/>
                <w:color w:val="FFFFFF"/>
                <w:sz w:val="19"/>
              </w:rPr>
              <w:t>Metric</w:t>
            </w:r>
          </w:p>
        </w:tc>
        <w:tc>
          <w:tcPr>
            <w:tcW w:type="dxa" w:w="1872"/>
            <w:shd w:val="clear" w:color="auto" w:fill="1F3B57"/>
            <w:tcMar>
              <w:top w:w="50" w:type="dxa"/>
              <w:bottom w:w="50" w:type="dxa"/>
              <w:left w:w="80" w:type="dxa"/>
              <w:right w:w="80" w:type="dxa"/>
            </w:tcMar>
          </w:tcPr>
          <w:p>
            <w:pPr>
              <w:spacing w:after="20" w:before="20"/>
            </w:pPr>
            <w:r/>
            <w:r>
              <w:rPr>
                <w:b/>
                <w:color w:val="FFFFFF"/>
                <w:sz w:val="19"/>
              </w:rPr>
              <w:t>Before (v1)</w:t>
            </w:r>
          </w:p>
        </w:tc>
        <w:tc>
          <w:tcPr>
            <w:tcW w:type="dxa" w:w="1728"/>
            <w:shd w:val="clear" w:color="auto" w:fill="1F3B57"/>
            <w:tcMar>
              <w:top w:w="50" w:type="dxa"/>
              <w:bottom w:w="50" w:type="dxa"/>
              <w:left w:w="80" w:type="dxa"/>
              <w:right w:w="80" w:type="dxa"/>
            </w:tcMar>
          </w:tcPr>
          <w:p>
            <w:pPr>
              <w:spacing w:after="20" w:before="20"/>
            </w:pPr>
            <w:r/>
            <w:r>
              <w:rPr>
                <w:b/>
                <w:color w:val="FFFFFF"/>
                <w:sz w:val="19"/>
              </w:rPr>
              <w:t>After (v2)</w:t>
            </w:r>
          </w:p>
        </w:tc>
        <w:tc>
          <w:tcPr>
            <w:tcW w:type="dxa" w:w="1584"/>
            <w:shd w:val="clear" w:color="auto" w:fill="1F3B57"/>
            <w:tcMar>
              <w:top w:w="50" w:type="dxa"/>
              <w:bottom w:w="50" w:type="dxa"/>
              <w:left w:w="80" w:type="dxa"/>
              <w:right w:w="80" w:type="dxa"/>
            </w:tcMar>
          </w:tcPr>
          <w:p>
            <w:pPr>
              <w:spacing w:after="20" w:before="20"/>
            </w:pPr>
            <w:r/>
            <w:r>
              <w:rPr>
                <w:b/>
                <w:color w:val="FFFFFF"/>
                <w:sz w:val="19"/>
              </w:rPr>
              <w:t>Target</w:t>
            </w:r>
          </w:p>
        </w:tc>
        <w:tc>
          <w:tcPr>
            <w:tcW w:type="dxa" w:w="2304"/>
            <w:shd w:val="clear" w:color="auto" w:fill="1F3B57"/>
            <w:tcMar>
              <w:top w:w="50" w:type="dxa"/>
              <w:bottom w:w="50" w:type="dxa"/>
              <w:left w:w="80" w:type="dxa"/>
              <w:right w:w="80" w:type="dxa"/>
            </w:tcMar>
          </w:tcPr>
          <w:p>
            <w:pPr>
              <w:spacing w:after="20" w:before="20"/>
            </w:pPr>
            <w:r/>
            <w:r>
              <w:rPr>
                <w:b/>
                <w:color w:val="FFFFFF"/>
                <w:sz w:val="19"/>
              </w:rPr>
              <w:t>Status</w:t>
            </w:r>
          </w:p>
        </w:tc>
      </w:tr>
      <w:tr>
        <w:tc>
          <w:tcPr>
            <w:tcW w:type="dxa" w:w="3888"/>
            <w:tcMar>
              <w:top w:w="50" w:type="dxa"/>
              <w:bottom w:w="50" w:type="dxa"/>
              <w:left w:w="80" w:type="dxa"/>
              <w:right w:w="80" w:type="dxa"/>
            </w:tcMar>
          </w:tcPr>
          <w:p>
            <w:pPr>
              <w:spacing w:after="20" w:before="20"/>
            </w:pPr>
            <w:r/>
            <w:r>
              <w:rPr>
                <w:sz w:val="18"/>
              </w:rPr>
              <w:t>Model A — High-risk recall</w:t>
            </w:r>
          </w:p>
        </w:tc>
        <w:tc>
          <w:tcPr>
            <w:tcW w:type="dxa" w:w="1872"/>
            <w:tcMar>
              <w:top w:w="50" w:type="dxa"/>
              <w:bottom w:w="50" w:type="dxa"/>
              <w:left w:w="80" w:type="dxa"/>
              <w:right w:w="80" w:type="dxa"/>
            </w:tcMar>
          </w:tcPr>
          <w:p>
            <w:pPr>
              <w:spacing w:after="20" w:before="20"/>
            </w:pPr>
            <w:r/>
            <w:r>
              <w:rPr>
                <w:sz w:val="18"/>
              </w:rPr>
              <w:t>13%</w:t>
            </w:r>
          </w:p>
        </w:tc>
        <w:tc>
          <w:tcPr>
            <w:tcW w:type="dxa" w:w="1728"/>
            <w:tcMar>
              <w:top w:w="50" w:type="dxa"/>
              <w:bottom w:w="50" w:type="dxa"/>
              <w:left w:w="80" w:type="dxa"/>
              <w:right w:w="80" w:type="dxa"/>
            </w:tcMar>
          </w:tcPr>
          <w:p>
            <w:pPr>
              <w:spacing w:after="20" w:before="20"/>
            </w:pPr>
            <w:r/>
            <w:r>
              <w:rPr>
                <w:sz w:val="18"/>
              </w:rPr>
              <w:t>70%</w:t>
            </w:r>
          </w:p>
        </w:tc>
        <w:tc>
          <w:tcPr>
            <w:tcW w:type="dxa" w:w="1584"/>
            <w:tcMar>
              <w:top w:w="50" w:type="dxa"/>
              <w:bottom w:w="50" w:type="dxa"/>
              <w:left w:w="80" w:type="dxa"/>
              <w:right w:w="80" w:type="dxa"/>
            </w:tcMar>
          </w:tcPr>
          <w:p>
            <w:pPr>
              <w:spacing w:after="20" w:before="20"/>
            </w:pPr>
            <w:r/>
            <w:r>
              <w:rPr>
                <w:sz w:val="18"/>
              </w:rPr>
              <w:t>≥ 70%</w:t>
            </w:r>
          </w:p>
        </w:tc>
        <w:tc>
          <w:tcPr>
            <w:tcW w:type="dxa" w:w="2304"/>
            <w:tcMar>
              <w:top w:w="50" w:type="dxa"/>
              <w:bottom w:w="50" w:type="dxa"/>
              <w:left w:w="80" w:type="dxa"/>
              <w:right w:w="80" w:type="dxa"/>
            </w:tcMar>
          </w:tcPr>
          <w:p>
            <w:pPr>
              <w:spacing w:after="20" w:before="20"/>
            </w:pPr>
            <w:r/>
            <w:r>
              <w:rPr>
                <w:b/>
                <w:color w:val="2E7D32"/>
                <w:sz w:val="18"/>
              </w:rPr>
              <w:t>Met</w:t>
            </w:r>
          </w:p>
        </w:tc>
      </w:tr>
      <w:tr>
        <w:tc>
          <w:tcPr>
            <w:tcW w:type="dxa" w:w="3888"/>
            <w:shd w:val="clear" w:color="auto" w:fill="EAF2FB"/>
            <w:tcMar>
              <w:top w:w="50" w:type="dxa"/>
              <w:bottom w:w="50" w:type="dxa"/>
              <w:left w:w="80" w:type="dxa"/>
              <w:right w:w="80" w:type="dxa"/>
            </w:tcMar>
          </w:tcPr>
          <w:p>
            <w:pPr>
              <w:spacing w:after="20" w:before="20"/>
            </w:pPr>
            <w:r/>
            <w:r>
              <w:rPr>
                <w:sz w:val="18"/>
              </w:rPr>
              <w:t>Model B — Rejected-claim recall</w:t>
            </w:r>
          </w:p>
        </w:tc>
        <w:tc>
          <w:tcPr>
            <w:tcW w:type="dxa" w:w="1872"/>
            <w:shd w:val="clear" w:color="auto" w:fill="EAF2FB"/>
            <w:tcMar>
              <w:top w:w="50" w:type="dxa"/>
              <w:bottom w:w="50" w:type="dxa"/>
              <w:left w:w="80" w:type="dxa"/>
              <w:right w:w="80" w:type="dxa"/>
            </w:tcMar>
          </w:tcPr>
          <w:p>
            <w:pPr>
              <w:spacing w:after="20" w:before="20"/>
            </w:pPr>
            <w:r/>
            <w:r>
              <w:rPr>
                <w:sz w:val="18"/>
              </w:rPr>
              <w:t>12%</w:t>
            </w:r>
          </w:p>
        </w:tc>
        <w:tc>
          <w:tcPr>
            <w:tcW w:type="dxa" w:w="1728"/>
            <w:shd w:val="clear" w:color="auto" w:fill="EAF2FB"/>
            <w:tcMar>
              <w:top w:w="50" w:type="dxa"/>
              <w:bottom w:w="50" w:type="dxa"/>
              <w:left w:w="80" w:type="dxa"/>
              <w:right w:w="80" w:type="dxa"/>
            </w:tcMar>
          </w:tcPr>
          <w:p>
            <w:pPr>
              <w:spacing w:after="20" w:before="20"/>
            </w:pPr>
            <w:r/>
            <w:r>
              <w:rPr>
                <w:sz w:val="18"/>
              </w:rPr>
              <w:t>65%</w:t>
            </w:r>
          </w:p>
        </w:tc>
        <w:tc>
          <w:tcPr>
            <w:tcW w:type="dxa" w:w="1584"/>
            <w:shd w:val="clear" w:color="auto" w:fill="EAF2FB"/>
            <w:tcMar>
              <w:top w:w="50" w:type="dxa"/>
              <w:bottom w:w="50" w:type="dxa"/>
              <w:left w:w="80" w:type="dxa"/>
              <w:right w:w="80" w:type="dxa"/>
            </w:tcMar>
          </w:tcPr>
          <w:p>
            <w:pPr>
              <w:spacing w:after="20" w:before="20"/>
            </w:pPr>
            <w:r/>
            <w:r>
              <w:rPr>
                <w:sz w:val="18"/>
              </w:rPr>
              <w:t>≥ 65%</w:t>
            </w:r>
          </w:p>
        </w:tc>
        <w:tc>
          <w:tcPr>
            <w:tcW w:type="dxa" w:w="2304"/>
            <w:shd w:val="clear" w:color="auto" w:fill="EAF2FB"/>
            <w:tcMar>
              <w:top w:w="50" w:type="dxa"/>
              <w:bottom w:w="50" w:type="dxa"/>
              <w:left w:w="80" w:type="dxa"/>
              <w:right w:w="80" w:type="dxa"/>
            </w:tcMar>
          </w:tcPr>
          <w:p>
            <w:pPr>
              <w:spacing w:after="20" w:before="20"/>
            </w:pPr>
            <w:r/>
            <w:r>
              <w:rPr>
                <w:b/>
                <w:color w:val="2E7D32"/>
                <w:sz w:val="18"/>
              </w:rPr>
              <w:t>Met</w:t>
            </w:r>
          </w:p>
        </w:tc>
      </w:tr>
      <w:tr>
        <w:tc>
          <w:tcPr>
            <w:tcW w:type="dxa" w:w="3888"/>
            <w:tcMar>
              <w:top w:w="50" w:type="dxa"/>
              <w:bottom w:w="50" w:type="dxa"/>
              <w:left w:w="80" w:type="dxa"/>
              <w:right w:w="80" w:type="dxa"/>
            </w:tcMar>
          </w:tcPr>
          <w:p>
            <w:pPr>
              <w:spacing w:after="20" w:before="20"/>
            </w:pPr>
            <w:r/>
            <w:r>
              <w:rPr>
                <w:sz w:val="18"/>
              </w:rPr>
              <w:t>Model A — Train-test gap (acc.)</w:t>
            </w:r>
          </w:p>
        </w:tc>
        <w:tc>
          <w:tcPr>
            <w:tcW w:type="dxa" w:w="1872"/>
            <w:tcMar>
              <w:top w:w="50" w:type="dxa"/>
              <w:bottom w:w="50" w:type="dxa"/>
              <w:left w:w="80" w:type="dxa"/>
              <w:right w:w="80" w:type="dxa"/>
            </w:tcMar>
          </w:tcPr>
          <w:p>
            <w:pPr>
              <w:spacing w:after="20" w:before="20"/>
            </w:pPr>
            <w:r/>
            <w:r>
              <w:rPr>
                <w:sz w:val="18"/>
              </w:rPr>
              <w:t>0.29</w:t>
            </w:r>
          </w:p>
        </w:tc>
        <w:tc>
          <w:tcPr>
            <w:tcW w:type="dxa" w:w="1728"/>
            <w:tcMar>
              <w:top w:w="50" w:type="dxa"/>
              <w:bottom w:w="50" w:type="dxa"/>
              <w:left w:w="80" w:type="dxa"/>
              <w:right w:w="80" w:type="dxa"/>
            </w:tcMar>
          </w:tcPr>
          <w:p>
            <w:pPr>
              <w:spacing w:after="20" w:before="20"/>
            </w:pPr>
            <w:r/>
            <w:r>
              <w:rPr>
                <w:sz w:val="18"/>
              </w:rPr>
              <w:t>0.01</w:t>
            </w:r>
          </w:p>
        </w:tc>
        <w:tc>
          <w:tcPr>
            <w:tcW w:type="dxa" w:w="1584"/>
            <w:tcMar>
              <w:top w:w="50" w:type="dxa"/>
              <w:bottom w:w="50" w:type="dxa"/>
              <w:left w:w="80" w:type="dxa"/>
              <w:right w:w="80" w:type="dxa"/>
            </w:tcMar>
          </w:tcPr>
          <w:p>
            <w:pPr>
              <w:spacing w:after="20" w:before="20"/>
            </w:pPr>
            <w:r/>
            <w:r>
              <w:rPr>
                <w:sz w:val="18"/>
              </w:rPr>
              <w:t>≤ 0.05</w:t>
            </w:r>
          </w:p>
        </w:tc>
        <w:tc>
          <w:tcPr>
            <w:tcW w:type="dxa" w:w="2304"/>
            <w:tcMar>
              <w:top w:w="50" w:type="dxa"/>
              <w:bottom w:w="50" w:type="dxa"/>
              <w:left w:w="80" w:type="dxa"/>
              <w:right w:w="80" w:type="dxa"/>
            </w:tcMar>
          </w:tcPr>
          <w:p>
            <w:pPr>
              <w:spacing w:after="20" w:before="20"/>
            </w:pPr>
            <w:r/>
            <w:r>
              <w:rPr>
                <w:b/>
                <w:color w:val="2E7D32"/>
                <w:sz w:val="18"/>
              </w:rPr>
              <w:t>Met</w:t>
            </w:r>
          </w:p>
        </w:tc>
      </w:tr>
      <w:tr>
        <w:tc>
          <w:tcPr>
            <w:tcW w:type="dxa" w:w="3888"/>
            <w:shd w:val="clear" w:color="auto" w:fill="EAF2FB"/>
            <w:tcMar>
              <w:top w:w="50" w:type="dxa"/>
              <w:bottom w:w="50" w:type="dxa"/>
              <w:left w:w="80" w:type="dxa"/>
              <w:right w:w="80" w:type="dxa"/>
            </w:tcMar>
          </w:tcPr>
          <w:p>
            <w:pPr>
              <w:spacing w:after="20" w:before="20"/>
            </w:pPr>
            <w:r/>
            <w:r>
              <w:rPr>
                <w:sz w:val="18"/>
              </w:rPr>
              <w:t>Model B — Train-test gap (acc.)</w:t>
            </w:r>
          </w:p>
        </w:tc>
        <w:tc>
          <w:tcPr>
            <w:tcW w:type="dxa" w:w="1872"/>
            <w:shd w:val="clear" w:color="auto" w:fill="EAF2FB"/>
            <w:tcMar>
              <w:top w:w="50" w:type="dxa"/>
              <w:bottom w:w="50" w:type="dxa"/>
              <w:left w:w="80" w:type="dxa"/>
              <w:right w:w="80" w:type="dxa"/>
            </w:tcMar>
          </w:tcPr>
          <w:p>
            <w:pPr>
              <w:spacing w:after="20" w:before="20"/>
            </w:pPr>
            <w:r/>
            <w:r>
              <w:rPr>
                <w:sz w:val="18"/>
              </w:rPr>
              <w:t>0.13</w:t>
            </w:r>
          </w:p>
        </w:tc>
        <w:tc>
          <w:tcPr>
            <w:tcW w:type="dxa" w:w="1728"/>
            <w:shd w:val="clear" w:color="auto" w:fill="EAF2FB"/>
            <w:tcMar>
              <w:top w:w="50" w:type="dxa"/>
              <w:bottom w:w="50" w:type="dxa"/>
              <w:left w:w="80" w:type="dxa"/>
              <w:right w:w="80" w:type="dxa"/>
            </w:tcMar>
          </w:tcPr>
          <w:p>
            <w:pPr>
              <w:spacing w:after="20" w:before="20"/>
            </w:pPr>
            <w:r/>
            <w:r>
              <w:rPr>
                <w:sz w:val="18"/>
              </w:rPr>
              <w:t>0.01</w:t>
            </w:r>
          </w:p>
        </w:tc>
        <w:tc>
          <w:tcPr>
            <w:tcW w:type="dxa" w:w="1584"/>
            <w:shd w:val="clear" w:color="auto" w:fill="EAF2FB"/>
            <w:tcMar>
              <w:top w:w="50" w:type="dxa"/>
              <w:bottom w:w="50" w:type="dxa"/>
              <w:left w:w="80" w:type="dxa"/>
              <w:right w:w="80" w:type="dxa"/>
            </w:tcMar>
          </w:tcPr>
          <w:p>
            <w:pPr>
              <w:spacing w:after="20" w:before="20"/>
            </w:pPr>
            <w:r/>
            <w:r>
              <w:rPr>
                <w:sz w:val="18"/>
              </w:rPr>
              <w:t>≤ 0.05</w:t>
            </w:r>
          </w:p>
        </w:tc>
        <w:tc>
          <w:tcPr>
            <w:tcW w:type="dxa" w:w="2304"/>
            <w:shd w:val="clear" w:color="auto" w:fill="EAF2FB"/>
            <w:tcMar>
              <w:top w:w="50" w:type="dxa"/>
              <w:bottom w:w="50" w:type="dxa"/>
              <w:left w:w="80" w:type="dxa"/>
              <w:right w:w="80" w:type="dxa"/>
            </w:tcMar>
          </w:tcPr>
          <w:p>
            <w:pPr>
              <w:spacing w:after="20" w:before="20"/>
            </w:pPr>
            <w:r/>
            <w:r>
              <w:rPr>
                <w:b/>
                <w:color w:val="2E7D32"/>
                <w:sz w:val="18"/>
              </w:rPr>
              <w:t>Met</w:t>
            </w:r>
          </w:p>
        </w:tc>
      </w:tr>
    </w:tbl>
    <w:p>
      <w:pPr>
        <w:spacing w:after="20" w:before="0"/>
      </w:pPr>
    </w:p>
    <w:p>
      <w:pPr>
        <w:spacing w:after="60" w:before="0"/>
      </w:pPr>
      <w:r>
        <w:rPr>
          <w:b/>
          <w:sz w:val="20"/>
        </w:rPr>
        <w:t xml:space="preserve">Interpretation:  </w:t>
      </w:r>
      <w:r>
        <w:rPr>
          <w:sz w:val="20"/>
        </w:rPr>
        <w:t>Corrections (SMOTE, interaction features, reduced complexity, threshold tuning) raised minority-class recall roughly 5× and nearly eliminated overfitting. The trade-off is more review alerts — a deliberate choice favouring patient safety and revenue protection. Fairness was checked across gender, city, and insurer with no material disparity.</w:t>
      </w:r>
    </w:p>
    <w:p>
      <w:pPr>
        <w:spacing w:after="60" w:before="160"/>
        <w:pBdr>
          <w:bottom w:val="single" w:sz="6" w:space="2" w:color="1E88E5"/>
        </w:pBdr>
      </w:pPr>
      <w:r>
        <w:rPr>
          <w:b/>
          <w:color w:val="1F3B57"/>
          <w:sz w:val="24"/>
        </w:rPr>
        <w:t>6.  Financial Impact Analysis</w:t>
      </w:r>
    </w:p>
    <w:tbl>
      <w:tblPr>
        <w:tblW w:type="auto" w:w="0"/>
        <w:jc w:val="center"/>
        <w:tblLook w:firstColumn="1" w:firstRow="1" w:lastColumn="0" w:lastRow="0" w:noHBand="0" w:noVBand="1" w:val="04A0"/>
      </w:tblPr>
      <w:tblGrid>
        <w:gridCol w:w="2520"/>
        <w:gridCol w:w="2520"/>
        <w:gridCol w:w="2520"/>
        <w:gridCol w:w="2520"/>
      </w:tblGrid>
      <w:tr>
        <w:tc>
          <w:tcPr>
            <w:tcW w:type="dxa" w:w="4608"/>
            <w:shd w:val="clear" w:color="auto" w:fill="1F3B57"/>
            <w:tcMar>
              <w:top w:w="50" w:type="dxa"/>
              <w:bottom w:w="50" w:type="dxa"/>
              <w:left w:w="80" w:type="dxa"/>
              <w:right w:w="80" w:type="dxa"/>
            </w:tcMar>
          </w:tcPr>
          <w:p>
            <w:pPr>
              <w:spacing w:after="20" w:before="20"/>
            </w:pPr>
            <w:r/>
            <w:r>
              <w:rPr>
                <w:b/>
                <w:color w:val="FFFFFF"/>
                <w:sz w:val="19"/>
              </w:rPr>
              <w:t>Measure</w:t>
            </w:r>
          </w:p>
        </w:tc>
        <w:tc>
          <w:tcPr>
            <w:tcW w:type="dxa" w:w="2304"/>
            <w:shd w:val="clear" w:color="auto" w:fill="1F3B57"/>
            <w:tcMar>
              <w:top w:w="50" w:type="dxa"/>
              <w:bottom w:w="50" w:type="dxa"/>
              <w:left w:w="80" w:type="dxa"/>
              <w:right w:w="80" w:type="dxa"/>
            </w:tcMar>
          </w:tcPr>
          <w:p>
            <w:pPr>
              <w:spacing w:after="20" w:before="20"/>
            </w:pPr>
            <w:r/>
            <w:r>
              <w:rPr>
                <w:b/>
                <w:color w:val="FFFFFF"/>
                <w:sz w:val="19"/>
              </w:rPr>
              <w:t>Before model</w:t>
            </w:r>
          </w:p>
        </w:tc>
        <w:tc>
          <w:tcPr>
            <w:tcW w:type="dxa" w:w="2448"/>
            <w:shd w:val="clear" w:color="auto" w:fill="1F3B57"/>
            <w:tcMar>
              <w:top w:w="50" w:type="dxa"/>
              <w:bottom w:w="50" w:type="dxa"/>
              <w:left w:w="80" w:type="dxa"/>
              <w:right w:w="80" w:type="dxa"/>
            </w:tcMar>
          </w:tcPr>
          <w:p>
            <w:pPr>
              <w:spacing w:after="20" w:before="20"/>
            </w:pPr>
            <w:r/>
            <w:r>
              <w:rPr>
                <w:b/>
                <w:color w:val="FFFFFF"/>
                <w:sz w:val="19"/>
              </w:rPr>
              <w:t>With model (v2)</w:t>
            </w:r>
          </w:p>
        </w:tc>
        <w:tc>
          <w:tcPr>
            <w:tcW w:type="dxa" w:w="2736"/>
            <w:shd w:val="clear" w:color="auto" w:fill="1F3B57"/>
            <w:tcMar>
              <w:top w:w="50" w:type="dxa"/>
              <w:bottom w:w="50" w:type="dxa"/>
              <w:left w:w="80" w:type="dxa"/>
              <w:right w:w="80" w:type="dxa"/>
            </w:tcMar>
          </w:tcPr>
          <w:p>
            <w:pPr>
              <w:spacing w:after="20" w:before="20"/>
            </w:pPr>
            <w:r/>
            <w:r>
              <w:rPr>
                <w:b/>
                <w:color w:val="FFFFFF"/>
                <w:sz w:val="19"/>
              </w:rPr>
              <w:t>Benefit</w:t>
            </w:r>
          </w:p>
        </w:tc>
      </w:tr>
      <w:tr>
        <w:tc>
          <w:tcPr>
            <w:tcW w:type="dxa" w:w="4608"/>
            <w:tcMar>
              <w:top w:w="50" w:type="dxa"/>
              <w:bottom w:w="50" w:type="dxa"/>
              <w:left w:w="80" w:type="dxa"/>
              <w:right w:w="80" w:type="dxa"/>
            </w:tcMar>
          </w:tcPr>
          <w:p>
            <w:pPr>
              <w:spacing w:after="20" w:before="20"/>
            </w:pPr>
            <w:r/>
            <w:r>
              <w:rPr>
                <w:sz w:val="18"/>
              </w:rPr>
              <w:t>Missed rejections (per quarter window)</w:t>
            </w:r>
          </w:p>
        </w:tc>
        <w:tc>
          <w:tcPr>
            <w:tcW w:type="dxa" w:w="2304"/>
            <w:tcMar>
              <w:top w:w="50" w:type="dxa"/>
              <w:bottom w:w="50" w:type="dxa"/>
              <w:left w:w="80" w:type="dxa"/>
              <w:right w:w="80" w:type="dxa"/>
            </w:tcMar>
          </w:tcPr>
          <w:p>
            <w:pPr>
              <w:spacing w:after="20" w:before="20"/>
            </w:pPr>
            <w:r/>
            <w:r>
              <w:rPr>
                <w:sz w:val="18"/>
              </w:rPr>
              <w:t>₹12.6M</w:t>
            </w:r>
          </w:p>
        </w:tc>
        <w:tc>
          <w:tcPr>
            <w:tcW w:type="dxa" w:w="2448"/>
            <w:tcMar>
              <w:top w:w="50" w:type="dxa"/>
              <w:bottom w:w="50" w:type="dxa"/>
              <w:left w:w="80" w:type="dxa"/>
              <w:right w:w="80" w:type="dxa"/>
            </w:tcMar>
          </w:tcPr>
          <w:p>
            <w:pPr>
              <w:spacing w:after="20" w:before="20"/>
            </w:pPr>
            <w:r/>
            <w:r>
              <w:rPr>
                <w:sz w:val="18"/>
              </w:rPr>
              <w:t>₹5.0M</w:t>
            </w:r>
          </w:p>
        </w:tc>
        <w:tc>
          <w:tcPr>
            <w:tcW w:type="dxa" w:w="2736"/>
            <w:tcMar>
              <w:top w:w="50" w:type="dxa"/>
              <w:bottom w:w="50" w:type="dxa"/>
              <w:left w:w="80" w:type="dxa"/>
              <w:right w:w="80" w:type="dxa"/>
            </w:tcMar>
          </w:tcPr>
          <w:p>
            <w:pPr>
              <w:spacing w:after="20" w:before="20"/>
            </w:pPr>
            <w:r/>
            <w:r>
              <w:rPr>
                <w:b/>
                <w:color w:val="2E7D32"/>
                <w:sz w:val="18"/>
              </w:rPr>
              <w:t>−₹7.6M leakage</w:t>
            </w:r>
          </w:p>
        </w:tc>
      </w:tr>
      <w:tr>
        <w:tc>
          <w:tcPr>
            <w:tcW w:type="dxa" w:w="4608"/>
            <w:shd w:val="clear" w:color="auto" w:fill="EAF2FB"/>
            <w:tcMar>
              <w:top w:w="50" w:type="dxa"/>
              <w:bottom w:w="50" w:type="dxa"/>
              <w:left w:w="80" w:type="dxa"/>
              <w:right w:w="80" w:type="dxa"/>
            </w:tcMar>
          </w:tcPr>
          <w:p>
            <w:pPr>
              <w:spacing w:after="20" w:before="20"/>
            </w:pPr>
            <w:r/>
            <w:r>
              <w:rPr>
                <w:sz w:val="18"/>
              </w:rPr>
              <w:t>Annualised revenue protected (est.)</w:t>
            </w:r>
          </w:p>
        </w:tc>
        <w:tc>
          <w:tcPr>
            <w:tcW w:type="dxa" w:w="2304"/>
            <w:shd w:val="clear" w:color="auto" w:fill="EAF2FB"/>
            <w:tcMar>
              <w:top w:w="50" w:type="dxa"/>
              <w:bottom w:w="50" w:type="dxa"/>
              <w:left w:w="80" w:type="dxa"/>
              <w:right w:w="80" w:type="dxa"/>
            </w:tcMar>
          </w:tcPr>
          <w:p>
            <w:pPr>
              <w:spacing w:after="20" w:before="20"/>
            </w:pPr>
            <w:r/>
            <w:r>
              <w:rPr>
                <w:sz w:val="18"/>
              </w:rPr>
              <w:t>—</w:t>
            </w:r>
          </w:p>
        </w:tc>
        <w:tc>
          <w:tcPr>
            <w:tcW w:type="dxa" w:w="2448"/>
            <w:shd w:val="clear" w:color="auto" w:fill="EAF2FB"/>
            <w:tcMar>
              <w:top w:w="50" w:type="dxa"/>
              <w:bottom w:w="50" w:type="dxa"/>
              <w:left w:w="80" w:type="dxa"/>
              <w:right w:w="80" w:type="dxa"/>
            </w:tcMar>
          </w:tcPr>
          <w:p>
            <w:pPr>
              <w:spacing w:after="20" w:before="20"/>
            </w:pPr>
            <w:r/>
            <w:r>
              <w:rPr>
                <w:sz w:val="18"/>
              </w:rPr>
              <w:t>—</w:t>
            </w:r>
          </w:p>
        </w:tc>
        <w:tc>
          <w:tcPr>
            <w:tcW w:type="dxa" w:w="2736"/>
            <w:shd w:val="clear" w:color="auto" w:fill="EAF2FB"/>
            <w:tcMar>
              <w:top w:w="50" w:type="dxa"/>
              <w:bottom w:w="50" w:type="dxa"/>
              <w:left w:w="80" w:type="dxa"/>
              <w:right w:w="80" w:type="dxa"/>
            </w:tcMar>
          </w:tcPr>
          <w:p>
            <w:pPr>
              <w:spacing w:after="20" w:before="20"/>
            </w:pPr>
            <w:r/>
            <w:r>
              <w:rPr>
                <w:b/>
                <w:color w:val="2E7D32"/>
                <w:sz w:val="18"/>
              </w:rPr>
              <w:t>≈ ₹38M</w:t>
            </w:r>
          </w:p>
        </w:tc>
      </w:tr>
      <w:tr>
        <w:tc>
          <w:tcPr>
            <w:tcW w:type="dxa" w:w="4608"/>
            <w:tcMar>
              <w:top w:w="50" w:type="dxa"/>
              <w:bottom w:w="50" w:type="dxa"/>
              <w:left w:w="80" w:type="dxa"/>
              <w:right w:w="80" w:type="dxa"/>
            </w:tcMar>
          </w:tcPr>
          <w:p>
            <w:pPr>
              <w:spacing w:after="20" w:before="20"/>
            </w:pPr>
            <w:r/>
            <w:r>
              <w:rPr>
                <w:sz w:val="18"/>
              </w:rPr>
              <w:t>Rejection exposure addressable</w:t>
            </w:r>
          </w:p>
        </w:tc>
        <w:tc>
          <w:tcPr>
            <w:tcW w:type="dxa" w:w="2304"/>
            <w:tcMar>
              <w:top w:w="50" w:type="dxa"/>
              <w:bottom w:w="50" w:type="dxa"/>
              <w:left w:w="80" w:type="dxa"/>
              <w:right w:w="80" w:type="dxa"/>
            </w:tcMar>
          </w:tcPr>
          <w:p>
            <w:pPr>
              <w:spacing w:after="20" w:before="20"/>
            </w:pPr>
            <w:r/>
            <w:r>
              <w:rPr>
                <w:sz w:val="18"/>
              </w:rPr>
              <w:t>₹74.9M</w:t>
            </w:r>
          </w:p>
        </w:tc>
        <w:tc>
          <w:tcPr>
            <w:tcW w:type="dxa" w:w="2448"/>
            <w:tcMar>
              <w:top w:w="50" w:type="dxa"/>
              <w:bottom w:w="50" w:type="dxa"/>
              <w:left w:w="80" w:type="dxa"/>
              <w:right w:w="80" w:type="dxa"/>
            </w:tcMar>
          </w:tcPr>
          <w:p>
            <w:pPr>
              <w:spacing w:after="20" w:before="20"/>
            </w:pPr>
            <w:r/>
            <w:r>
              <w:rPr>
                <w:sz w:val="18"/>
              </w:rPr>
              <w:t>—</w:t>
            </w:r>
          </w:p>
        </w:tc>
        <w:tc>
          <w:tcPr>
            <w:tcW w:type="dxa" w:w="2736"/>
            <w:tcMar>
              <w:top w:w="50" w:type="dxa"/>
              <w:bottom w:w="50" w:type="dxa"/>
              <w:left w:w="80" w:type="dxa"/>
              <w:right w:w="80" w:type="dxa"/>
            </w:tcMar>
          </w:tcPr>
          <w:p>
            <w:pPr>
              <w:spacing w:after="20" w:before="20"/>
            </w:pPr>
            <w:r/>
            <w:r>
              <w:rPr>
                <w:sz w:val="18"/>
              </w:rPr>
              <w:t>Pre-submission capture</w:t>
            </w:r>
          </w:p>
        </w:tc>
      </w:tr>
    </w:tbl>
    <w:p>
      <w:pPr>
        <w:spacing w:after="20" w:before="0"/>
      </w:pPr>
    </w:p>
    <w:p>
      <w:pPr>
        <w:spacing w:after="60" w:before="0"/>
      </w:pPr>
      <w:r>
        <w:rPr>
          <w:b/>
          <w:sz w:val="19"/>
        </w:rPr>
        <w:t xml:space="preserve">Basis &amp; caveat:  </w:t>
      </w:r>
      <w:r>
        <w:rPr>
          <w:sz w:val="19"/>
        </w:rPr>
        <w:t>Estimates use the held-out recent test window (728 rejections, avg ₹19,723) extrapolated across four quarters. Figures are planning estimates, not guaranteed returns; actual value depends on how many flagged claims are successfully corrected before submission.</w:t>
      </w:r>
    </w:p>
    <w:p>
      <w:pPr>
        <w:spacing w:after="60" w:before="160"/>
        <w:pBdr>
          <w:bottom w:val="single" w:sz="6" w:space="2" w:color="1E88E5"/>
        </w:pBdr>
      </w:pPr>
      <w:r>
        <w:rPr>
          <w:b/>
          <w:color w:val="1F3B57"/>
          <w:sz w:val="24"/>
        </w:rPr>
        <w:t>7.  System Architecture &amp; Deployment</w:t>
      </w:r>
    </w:p>
    <w:p>
      <w:pPr>
        <w:pStyle w:val="ListBullet"/>
        <w:spacing w:after="60" w:before="0"/>
        <w:ind w:left="360"/>
      </w:pPr>
      <w:r>
        <w:rPr>
          <w:b/>
          <w:sz w:val="20"/>
        </w:rPr>
        <w:t xml:space="preserve">Serving:  </w:t>
      </w:r>
      <w:r>
        <w:rPr>
          <w:sz w:val="20"/>
        </w:rPr>
        <w:t>Real-time FastAPI service, containerised (Docker) and deployable to AWS ECS Fargate behind a load balancer, serving both models with schema validation and sub-100 ms latency.</w:t>
      </w:r>
    </w:p>
    <w:p>
      <w:pPr>
        <w:pStyle w:val="ListBullet"/>
        <w:spacing w:after="60" w:before="0"/>
        <w:ind w:left="360"/>
      </w:pPr>
      <w:r>
        <w:rPr>
          <w:b/>
          <w:sz w:val="20"/>
        </w:rPr>
        <w:t xml:space="preserve">Reliability:  </w:t>
      </w:r>
      <w:r>
        <w:rPr>
          <w:sz w:val="20"/>
        </w:rPr>
        <w:t>Callers send raw business inputs; all feature engineering runs server-side to prevent train/serve skew. Health checks and rolling updates support zero-downtime releases.</w:t>
      </w:r>
    </w:p>
    <w:p>
      <w:pPr>
        <w:spacing w:after="60" w:before="160"/>
        <w:pBdr>
          <w:bottom w:val="single" w:sz="6" w:space="2" w:color="1E88E5"/>
        </w:pBdr>
      </w:pPr>
      <w:r>
        <w:rPr>
          <w:b/>
          <w:color w:val="1F3B57"/>
          <w:sz w:val="24"/>
        </w:rPr>
        <w:t>8.  Monitoring, Drift &amp; Governance</w:t>
      </w:r>
    </w:p>
    <w:p>
      <w:pPr>
        <w:pStyle w:val="ListBullet"/>
        <w:spacing w:after="60" w:before="0"/>
        <w:ind w:left="360"/>
      </w:pPr>
      <w:r>
        <w:rPr>
          <w:b/>
          <w:sz w:val="20"/>
        </w:rPr>
        <w:t xml:space="preserve">Data validation:  </w:t>
      </w:r>
      <w:r>
        <w:rPr>
          <w:sz w:val="20"/>
        </w:rPr>
        <w:t>Automated checks for missing values, out-of-range numbers, and unseen categories quarantine bad records before they reach the model.</w:t>
      </w:r>
    </w:p>
    <w:p>
      <w:pPr>
        <w:pStyle w:val="ListBullet"/>
        <w:spacing w:after="60" w:before="0"/>
        <w:ind w:left="360"/>
      </w:pPr>
      <w:r>
        <w:rPr>
          <w:b/>
          <w:sz w:val="20"/>
        </w:rPr>
        <w:t xml:space="preserve">Drift detection:  </w:t>
      </w:r>
      <w:r>
        <w:rPr>
          <w:sz w:val="20"/>
        </w:rPr>
        <w:t>Population Stability Index (PSI) tracks feature and prediction drift each month; sustained drift triggers retraining on a rolling 12-month window.</w:t>
      </w:r>
    </w:p>
    <w:p>
      <w:pPr>
        <w:pStyle w:val="ListBullet"/>
        <w:spacing w:after="60" w:before="0"/>
        <w:ind w:left="360"/>
      </w:pPr>
      <w:r>
        <w:rPr>
          <w:b/>
          <w:sz w:val="20"/>
        </w:rPr>
        <w:t xml:space="preserve">Audit &amp; oversight:  </w:t>
      </w:r>
      <w:r>
        <w:rPr>
          <w:sz w:val="20"/>
        </w:rPr>
        <w:t>Every prediction is logged with a unique ID, model version, and privacy-safe feature hash — a PHI-free audit trail for appeals and compliance. Both models are advisory, with mandatory human sign-off.</w:t>
      </w:r>
    </w:p>
    <w:p>
      <w:pPr>
        <w:spacing w:after="60" w:before="160"/>
        <w:pBdr>
          <w:bottom w:val="single" w:sz="6" w:space="2" w:color="1E88E5"/>
        </w:pBdr>
      </w:pPr>
      <w:r>
        <w:rPr>
          <w:b/>
          <w:color w:val="1F3B57"/>
          <w:sz w:val="24"/>
        </w:rPr>
        <w:t>9.  Limitations &amp; Assumptions</w:t>
      </w:r>
    </w:p>
    <w:p>
      <w:pPr>
        <w:spacing w:after="60" w:before="0"/>
      </w:pPr>
      <w:r>
        <w:rPr>
          <w:sz w:val="20"/>
        </w:rPr>
        <w:t>Models trade some overall accuracy for high minority-class recall (more review alerts by design); they use structured fields only (no clinical notes); 'Pending' claims are an ambiguous interim state; and time-relative features drift, requiring scheduled retraining. Ground-truth labels and the representativeness of training data are assumed sound.</w:t>
      </w:r>
    </w:p>
    <w:p>
      <w:pPr>
        <w:spacing w:after="60" w:before="160"/>
        <w:pBdr>
          <w:bottom w:val="single" w:sz="6" w:space="2" w:color="1E88E5"/>
        </w:pBdr>
      </w:pPr>
      <w:r>
        <w:rPr>
          <w:b/>
          <w:color w:val="1F3B57"/>
          <w:sz w:val="24"/>
        </w:rPr>
        <w:t>10.  Business Recommendations</w:t>
      </w:r>
    </w:p>
    <w:p>
      <w:pPr>
        <w:spacing w:after="40" w:before="0"/>
        <w:ind w:left="259"/>
      </w:pPr>
      <w:r>
        <w:rPr>
          <w:b/>
          <w:color w:val="1E88E5"/>
          <w:sz w:val="20"/>
        </w:rPr>
        <w:t xml:space="preserve">1.  </w:t>
      </w:r>
      <w:r>
        <w:rPr>
          <w:b/>
          <w:sz w:val="20"/>
        </w:rPr>
        <w:t>Sponsor a 90-day operational pilot</w:t>
      </w:r>
      <w:r>
        <w:rPr>
          <w:sz w:val="20"/>
        </w:rPr>
        <w:t xml:space="preserve"> — deploy the claim model in revenue-cycle and the risk model in triage for selected departments, tracking live KPIs against the ≈₹38M annualised target.</w:t>
      </w:r>
    </w:p>
    <w:p>
      <w:pPr>
        <w:spacing w:after="40" w:before="0"/>
        <w:ind w:left="259"/>
      </w:pPr>
      <w:r>
        <w:rPr>
          <w:b/>
          <w:color w:val="1E88E5"/>
          <w:sz w:val="20"/>
        </w:rPr>
        <w:t xml:space="preserve">2.  </w:t>
      </w:r>
      <w:r>
        <w:rPr>
          <w:b/>
          <w:sz w:val="20"/>
        </w:rPr>
        <w:t>Build a pre-submission denial-prevention queue</w:t>
      </w:r>
      <w:r>
        <w:rPr>
          <w:sz w:val="20"/>
        </w:rPr>
        <w:t xml:space="preserve"> — route 'likely rejected' claims to specialists for correction; this is the direct lever on the systemic ₹74.9M rejection leakage.</w:t>
      </w:r>
    </w:p>
    <w:p>
      <w:pPr>
        <w:spacing w:after="40" w:before="0"/>
        <w:ind w:left="259"/>
      </w:pPr>
      <w:r>
        <w:rPr>
          <w:b/>
          <w:color w:val="1E88E5"/>
          <w:sz w:val="20"/>
        </w:rPr>
        <w:t xml:space="preserve">3.  </w:t>
      </w:r>
      <w:r>
        <w:rPr>
          <w:b/>
          <w:sz w:val="20"/>
        </w:rPr>
        <w:t>Operationalise risk-based triage</w:t>
      </w:r>
      <w:r>
        <w:rPr>
          <w:sz w:val="20"/>
        </w:rPr>
        <w:t xml:space="preserve"> — use High-risk flags to prioritise clinical review and resource allocation, with clinician sign-off retained.</w:t>
      </w:r>
    </w:p>
    <w:p>
      <w:pPr>
        <w:spacing w:after="40" w:before="0"/>
        <w:ind w:left="259"/>
      </w:pPr>
      <w:r>
        <w:rPr>
          <w:b/>
          <w:color w:val="1E88E5"/>
          <w:sz w:val="20"/>
        </w:rPr>
        <w:t xml:space="preserve">4.  </w:t>
      </w:r>
      <w:r>
        <w:rPr>
          <w:b/>
          <w:sz w:val="20"/>
        </w:rPr>
        <w:t>Fund governance &amp; monitoring</w:t>
      </w:r>
      <w:r>
        <w:rPr>
          <w:sz w:val="20"/>
        </w:rPr>
        <w:t xml:space="preserve"> — monthly drift reviews and quarterly retraining to protect realised savings as payer behaviour evolves.</w:t>
      </w:r>
    </w:p>
    <w:p>
      <w:pPr>
        <w:spacing w:after="40" w:before="0"/>
        <w:ind w:left="259"/>
      </w:pPr>
      <w:r>
        <w:rPr>
          <w:b/>
          <w:color w:val="1E88E5"/>
          <w:sz w:val="20"/>
        </w:rPr>
        <w:t xml:space="preserve">5.  </w:t>
      </w:r>
      <w:r>
        <w:rPr>
          <w:b/>
          <w:sz w:val="20"/>
        </w:rPr>
        <w:t>Scale after measured pilot success</w:t>
      </w:r>
      <w:r>
        <w:rPr>
          <w:sz w:val="20"/>
        </w:rPr>
        <w:t xml:space="preserve"> — extend hospital-wide and to adjacent workflows based on evidenced ROI; consider per-insurer model tuning in phase two.</w:t>
      </w:r>
    </w:p>
    <w:p>
      <w:pPr>
        <w:spacing w:after="60" w:before="160"/>
        <w:pBdr>
          <w:bottom w:val="single" w:sz="6" w:space="2" w:color="1E88E5"/>
        </w:pBdr>
      </w:pPr>
      <w:r>
        <w:rPr>
          <w:b/>
          <w:color w:val="1F3B57"/>
          <w:sz w:val="24"/>
        </w:rPr>
        <w:t>Conclusion</w:t>
      </w:r>
    </w:p>
    <w:p>
      <w:pPr>
        <w:spacing w:after="0" w:before="0"/>
      </w:pPr>
      <w:r>
        <w:rPr>
          <w:i/>
          <w:color w:val="1F3B57"/>
          <w:sz w:val="20"/>
        </w:rPr>
        <w:t>The system is technically validated, governed, and financially compelling. It is positioned to protect patient safety through earlier risk identification and to recover material revenue by preventing claim rejections. Leadership is advised to approve the sponsored pilot as the next step.</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