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Patient Information</w:t>
      </w:r>
    </w:p>
    <w:p>
      <w:r>
        <w:t>Name: Jane Smith</w:t>
      </w:r>
    </w:p>
    <w:p>
      <w:r>
        <w:t>DOB: 01/15/1980</w:t>
      </w:r>
    </w:p>
    <w:p>
      <w:r>
        <w:t>MRN: 987654</w:t>
      </w:r>
    </w:p>
    <w:p>
      <w:r>
        <w:t>Date of Visit: December 16, 2025</w:t>
      </w:r>
    </w:p>
    <w:p>
      <w:pPr>
        <w:pStyle w:val="Heading1"/>
      </w:pPr>
      <w:r>
        <w:t>Clinical Notes</w:t>
      </w:r>
    </w:p>
    <w:p>
      <w:r>
        <w:t>Patient presented with complaints of mild headaches over the past week. Physical examination reveals normal vital signs. No fever or neurological deficits noted.</w:t>
      </w:r>
    </w:p>
    <w:p>
      <w:pPr>
        <w:pStyle w:val="Heading1"/>
      </w:pPr>
      <w:r>
        <w:t>Diagnosis</w:t>
      </w:r>
    </w:p>
    <w:p>
      <w:r>
        <w:t>Tension headache, likely stress-related</w:t>
      </w:r>
    </w:p>
    <w:p>
      <w:pPr>
        <w:pStyle w:val="Heading1"/>
      </w:pPr>
      <w:r>
        <w:t>Treatment Plan</w:t>
      </w:r>
    </w:p>
    <w:p>
      <w:r>
        <w:t>1. Over-the-counter pain relievers as needed</w:t>
      </w:r>
    </w:p>
    <w:p>
      <w:r>
        <w:t>2. Stress management techniques</w:t>
      </w:r>
    </w:p>
    <w:p>
      <w:r>
        <w:t>3. Follow-up in 2 weeks if symptoms persist</w:t>
      </w:r>
    </w:p>
    <w:p/>
    <w:p>
      <w:r>
        <w:t>Dr. Robert Johnson, MD</w:t>
      </w:r>
    </w:p>
    <w:p>
      <w:r>
        <w:t>Internal Medicine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