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A6AF0" w14:textId="77777777" w:rsidR="00596F55" w:rsidRDefault="000A5671">
      <w:pPr>
        <w:spacing w:after="60"/>
        <w:jc w:val="center"/>
      </w:pPr>
      <w:r>
        <w:rPr>
          <w:b/>
          <w:bCs/>
          <w:color w:val="0D2B6E"/>
          <w:sz w:val="30"/>
          <w:szCs w:val="30"/>
        </w:rPr>
        <w:t>GALGOTIAS UNIVERSITY</w:t>
      </w:r>
    </w:p>
    <w:p w14:paraId="27452E17" w14:textId="77777777" w:rsidR="00596F55" w:rsidRDefault="000A5671">
      <w:pPr>
        <w:spacing w:after="60"/>
        <w:jc w:val="center"/>
      </w:pPr>
      <w:r>
        <w:rPr>
          <w:color w:val="555555"/>
          <w:sz w:val="20"/>
          <w:szCs w:val="20"/>
        </w:rPr>
        <w:t>Greater Noida, Uttar Pradesh</w:t>
      </w:r>
    </w:p>
    <w:p w14:paraId="2405E4F9" w14:textId="77777777" w:rsidR="00596F55" w:rsidRDefault="000A5671">
      <w:pPr>
        <w:pBdr>
          <w:top w:val="single" w:sz="8" w:space="1" w:color="0D2B6E"/>
          <w:bottom w:val="single" w:sz="8" w:space="1" w:color="0D2B6E"/>
        </w:pBdr>
        <w:shd w:val="clear" w:color="auto" w:fill="0D2B6E"/>
        <w:spacing w:before="60" w:after="100"/>
        <w:jc w:val="center"/>
      </w:pPr>
      <w:r>
        <w:rPr>
          <w:b/>
          <w:bCs/>
          <w:color w:val="FFFFFF"/>
          <w:sz w:val="24"/>
          <w:szCs w:val="24"/>
        </w:rPr>
        <w:t xml:space="preserve">  Critical Thinking, Design Thinking, Leadership &amp; Teamwork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596F55" w14:paraId="5CF6277F" w14:textId="77777777">
        <w:tblPrEx>
          <w:tblCellMar>
            <w:top w:w="0" w:type="dxa"/>
            <w:bottom w:w="0" w:type="dxa"/>
          </w:tblCellMar>
        </w:tblPrEx>
        <w:tc>
          <w:tcPr>
            <w:tcW w:w="2200" w:type="dxa"/>
            <w:tcBorders>
              <w:top w:val="single" w:sz="1" w:space="0" w:color="AABBDD"/>
              <w:left w:val="single" w:sz="1" w:space="0" w:color="AABBDD"/>
              <w:bottom w:val="single" w:sz="1" w:space="0" w:color="AABBDD"/>
              <w:right w:val="single" w:sz="1" w:space="0" w:color="AABBDD"/>
            </w:tcBorders>
            <w:shd w:val="clear" w:color="auto" w:fill="D6E4F7"/>
            <w:tcMar>
              <w:top w:w="80" w:type="dxa"/>
              <w:left w:w="120" w:type="dxa"/>
              <w:bottom w:w="80" w:type="dxa"/>
              <w:right w:w="120" w:type="dxa"/>
            </w:tcMar>
          </w:tcPr>
          <w:p w14:paraId="112DFC47" w14:textId="77777777" w:rsidR="00596F55" w:rsidRDefault="000A5671">
            <w:r>
              <w:rPr>
                <w:b/>
                <w:bCs/>
                <w:color w:val="0D2B6E"/>
                <w:sz w:val="20"/>
                <w:szCs w:val="20"/>
              </w:rPr>
              <w:t>Topic Name</w:t>
            </w:r>
          </w:p>
        </w:tc>
        <w:tc>
          <w:tcPr>
            <w:tcW w:w="7160" w:type="dxa"/>
            <w:tcBorders>
              <w:top w:val="single" w:sz="1" w:space="0" w:color="AABBDD"/>
              <w:left w:val="single" w:sz="1" w:space="0" w:color="AABBDD"/>
              <w:bottom w:val="single" w:sz="1" w:space="0" w:color="AABBDD"/>
              <w:right w:val="single" w:sz="1" w:space="0" w:color="AABBDD"/>
            </w:tcBorders>
            <w:shd w:val="clear" w:color="auto" w:fill="EEF4FB"/>
            <w:tcMar>
              <w:top w:w="80" w:type="dxa"/>
              <w:left w:w="120" w:type="dxa"/>
              <w:bottom w:w="80" w:type="dxa"/>
              <w:right w:w="120" w:type="dxa"/>
            </w:tcMar>
          </w:tcPr>
          <w:p w14:paraId="2C33DEC6" w14:textId="77777777" w:rsidR="00596F55" w:rsidRDefault="000A5671">
            <w:r>
              <w:rPr>
                <w:sz w:val="20"/>
                <w:szCs w:val="20"/>
              </w:rPr>
              <w:t>Design Thinking Practicing for co-curricular skills</w:t>
            </w:r>
          </w:p>
        </w:tc>
      </w:tr>
      <w:tr w:rsidR="00596F55" w14:paraId="0C8F22E5" w14:textId="77777777">
        <w:tblPrEx>
          <w:tblCellMar>
            <w:top w:w="0" w:type="dxa"/>
            <w:bottom w:w="0" w:type="dxa"/>
          </w:tblCellMar>
        </w:tblPrEx>
        <w:tc>
          <w:tcPr>
            <w:tcW w:w="2200" w:type="dxa"/>
            <w:tcBorders>
              <w:top w:val="single" w:sz="1" w:space="0" w:color="AABBDD"/>
              <w:left w:val="single" w:sz="1" w:space="0" w:color="AABBDD"/>
              <w:bottom w:val="single" w:sz="1" w:space="0" w:color="AABBDD"/>
              <w:right w:val="single" w:sz="1" w:space="0" w:color="AABBDD"/>
            </w:tcBorders>
            <w:shd w:val="clear" w:color="auto" w:fill="EEF4FB"/>
            <w:tcMar>
              <w:top w:w="80" w:type="dxa"/>
              <w:left w:w="120" w:type="dxa"/>
              <w:bottom w:w="80" w:type="dxa"/>
              <w:right w:w="120" w:type="dxa"/>
            </w:tcMar>
          </w:tcPr>
          <w:p w14:paraId="6A561D9C" w14:textId="77777777" w:rsidR="00596F55" w:rsidRDefault="000A5671">
            <w:r>
              <w:rPr>
                <w:b/>
                <w:bCs/>
                <w:color w:val="0D2B6E"/>
                <w:sz w:val="20"/>
                <w:szCs w:val="20"/>
              </w:rPr>
              <w:t>Task No.</w:t>
            </w:r>
          </w:p>
        </w:tc>
        <w:tc>
          <w:tcPr>
            <w:tcW w:w="7160" w:type="dxa"/>
            <w:tcBorders>
              <w:top w:val="single" w:sz="1" w:space="0" w:color="AABBDD"/>
              <w:left w:val="single" w:sz="1" w:space="0" w:color="AABBDD"/>
              <w:bottom w:val="single" w:sz="1" w:space="0" w:color="AABBDD"/>
              <w:right w:val="single" w:sz="1" w:space="0" w:color="AABBDD"/>
            </w:tcBorders>
            <w:shd w:val="clear" w:color="auto" w:fill="FFFFFF"/>
            <w:tcMar>
              <w:top w:w="80" w:type="dxa"/>
              <w:left w:w="120" w:type="dxa"/>
              <w:bottom w:w="80" w:type="dxa"/>
              <w:right w:w="120" w:type="dxa"/>
            </w:tcMar>
          </w:tcPr>
          <w:p w14:paraId="04BAC7C9" w14:textId="77777777" w:rsidR="00596F55" w:rsidRDefault="000A5671">
            <w:r>
              <w:rPr>
                <w:sz w:val="20"/>
                <w:szCs w:val="20"/>
              </w:rPr>
              <w:t>Task #08</w:t>
            </w:r>
          </w:p>
        </w:tc>
      </w:tr>
      <w:tr w:rsidR="00596F55" w14:paraId="152795AF" w14:textId="77777777">
        <w:tblPrEx>
          <w:tblCellMar>
            <w:top w:w="0" w:type="dxa"/>
            <w:bottom w:w="0" w:type="dxa"/>
          </w:tblCellMar>
        </w:tblPrEx>
        <w:tc>
          <w:tcPr>
            <w:tcW w:w="2200" w:type="dxa"/>
            <w:tcBorders>
              <w:top w:val="single" w:sz="1" w:space="0" w:color="AABBDD"/>
              <w:left w:val="single" w:sz="1" w:space="0" w:color="AABBDD"/>
              <w:bottom w:val="single" w:sz="1" w:space="0" w:color="AABBDD"/>
              <w:right w:val="single" w:sz="1" w:space="0" w:color="AABBDD"/>
            </w:tcBorders>
            <w:shd w:val="clear" w:color="auto" w:fill="D6E4F7"/>
            <w:tcMar>
              <w:top w:w="80" w:type="dxa"/>
              <w:left w:w="120" w:type="dxa"/>
              <w:bottom w:w="80" w:type="dxa"/>
              <w:right w:w="120" w:type="dxa"/>
            </w:tcMar>
          </w:tcPr>
          <w:p w14:paraId="6A3A597F" w14:textId="77777777" w:rsidR="00596F55" w:rsidRDefault="000A5671">
            <w:r>
              <w:rPr>
                <w:b/>
                <w:bCs/>
                <w:color w:val="0D2B6E"/>
                <w:sz w:val="20"/>
                <w:szCs w:val="20"/>
              </w:rPr>
              <w:t>Task Name</w:t>
            </w:r>
          </w:p>
        </w:tc>
        <w:tc>
          <w:tcPr>
            <w:tcW w:w="7160" w:type="dxa"/>
            <w:tcBorders>
              <w:top w:val="single" w:sz="1" w:space="0" w:color="AABBDD"/>
              <w:left w:val="single" w:sz="1" w:space="0" w:color="AABBDD"/>
              <w:bottom w:val="single" w:sz="1" w:space="0" w:color="AABBDD"/>
              <w:right w:val="single" w:sz="1" w:space="0" w:color="AABBDD"/>
            </w:tcBorders>
            <w:shd w:val="clear" w:color="auto" w:fill="EEF4FB"/>
            <w:tcMar>
              <w:top w:w="80" w:type="dxa"/>
              <w:left w:w="120" w:type="dxa"/>
              <w:bottom w:w="80" w:type="dxa"/>
              <w:right w:w="120" w:type="dxa"/>
            </w:tcMar>
          </w:tcPr>
          <w:p w14:paraId="5B8840B7" w14:textId="77777777" w:rsidR="00596F55" w:rsidRDefault="000A5671">
            <w:r>
              <w:rPr>
                <w:sz w:val="20"/>
                <w:szCs w:val="20"/>
              </w:rPr>
              <w:t>Extempore Activity</w:t>
            </w:r>
          </w:p>
        </w:tc>
      </w:tr>
      <w:tr w:rsidR="00596F55" w14:paraId="529524C5" w14:textId="77777777">
        <w:tblPrEx>
          <w:tblCellMar>
            <w:top w:w="0" w:type="dxa"/>
            <w:bottom w:w="0" w:type="dxa"/>
          </w:tblCellMar>
        </w:tblPrEx>
        <w:tc>
          <w:tcPr>
            <w:tcW w:w="2200" w:type="dxa"/>
            <w:tcBorders>
              <w:top w:val="single" w:sz="1" w:space="0" w:color="AABBDD"/>
              <w:left w:val="single" w:sz="1" w:space="0" w:color="AABBDD"/>
              <w:bottom w:val="single" w:sz="1" w:space="0" w:color="AABBDD"/>
              <w:right w:val="single" w:sz="1" w:space="0" w:color="AABBDD"/>
            </w:tcBorders>
            <w:shd w:val="clear" w:color="auto" w:fill="EEF4FB"/>
            <w:tcMar>
              <w:top w:w="80" w:type="dxa"/>
              <w:left w:w="120" w:type="dxa"/>
              <w:bottom w:w="80" w:type="dxa"/>
              <w:right w:w="120" w:type="dxa"/>
            </w:tcMar>
          </w:tcPr>
          <w:p w14:paraId="2AA60EF3" w14:textId="77777777" w:rsidR="00596F55" w:rsidRDefault="000A5671">
            <w:r>
              <w:rPr>
                <w:b/>
                <w:bCs/>
                <w:color w:val="0D2B6E"/>
                <w:sz w:val="20"/>
                <w:szCs w:val="20"/>
              </w:rPr>
              <w:t>Batch No.</w:t>
            </w:r>
          </w:p>
        </w:tc>
        <w:tc>
          <w:tcPr>
            <w:tcW w:w="7160" w:type="dxa"/>
            <w:tcBorders>
              <w:top w:val="single" w:sz="1" w:space="0" w:color="AABBDD"/>
              <w:left w:val="single" w:sz="1" w:space="0" w:color="AABBDD"/>
              <w:bottom w:val="single" w:sz="1" w:space="0" w:color="AABBDD"/>
              <w:right w:val="single" w:sz="1" w:space="0" w:color="AABBDD"/>
            </w:tcBorders>
            <w:shd w:val="clear" w:color="auto" w:fill="FFFFFF"/>
            <w:tcMar>
              <w:top w:w="80" w:type="dxa"/>
              <w:left w:w="120" w:type="dxa"/>
              <w:bottom w:w="80" w:type="dxa"/>
              <w:right w:w="120" w:type="dxa"/>
            </w:tcMar>
          </w:tcPr>
          <w:p w14:paraId="3F9858D8" w14:textId="77777777" w:rsidR="00596F55" w:rsidRDefault="000A5671">
            <w:r>
              <w:rPr>
                <w:sz w:val="20"/>
                <w:szCs w:val="20"/>
              </w:rPr>
              <w:t>5</w:t>
            </w:r>
          </w:p>
        </w:tc>
      </w:tr>
      <w:tr w:rsidR="00596F55" w14:paraId="0A09A5EC" w14:textId="77777777">
        <w:tblPrEx>
          <w:tblCellMar>
            <w:top w:w="0" w:type="dxa"/>
            <w:bottom w:w="0" w:type="dxa"/>
          </w:tblCellMar>
        </w:tblPrEx>
        <w:tc>
          <w:tcPr>
            <w:tcW w:w="2200" w:type="dxa"/>
            <w:tcBorders>
              <w:top w:val="single" w:sz="1" w:space="0" w:color="AABBDD"/>
              <w:left w:val="single" w:sz="1" w:space="0" w:color="AABBDD"/>
              <w:bottom w:val="single" w:sz="1" w:space="0" w:color="AABBDD"/>
              <w:right w:val="single" w:sz="1" w:space="0" w:color="AABBDD"/>
            </w:tcBorders>
            <w:shd w:val="clear" w:color="auto" w:fill="D6E4F7"/>
            <w:tcMar>
              <w:top w:w="80" w:type="dxa"/>
              <w:left w:w="120" w:type="dxa"/>
              <w:bottom w:w="80" w:type="dxa"/>
              <w:right w:w="120" w:type="dxa"/>
            </w:tcMar>
          </w:tcPr>
          <w:p w14:paraId="3EB06C4A" w14:textId="77777777" w:rsidR="00596F55" w:rsidRDefault="000A5671">
            <w:r>
              <w:rPr>
                <w:b/>
                <w:bCs/>
                <w:color w:val="0D2B6E"/>
                <w:sz w:val="20"/>
                <w:szCs w:val="20"/>
              </w:rPr>
              <w:t>College</w:t>
            </w:r>
          </w:p>
        </w:tc>
        <w:tc>
          <w:tcPr>
            <w:tcW w:w="7160" w:type="dxa"/>
            <w:tcBorders>
              <w:top w:val="single" w:sz="1" w:space="0" w:color="AABBDD"/>
              <w:left w:val="single" w:sz="1" w:space="0" w:color="AABBDD"/>
              <w:bottom w:val="single" w:sz="1" w:space="0" w:color="AABBDD"/>
              <w:right w:val="single" w:sz="1" w:space="0" w:color="AABBDD"/>
            </w:tcBorders>
            <w:shd w:val="clear" w:color="auto" w:fill="EEF4FB"/>
            <w:tcMar>
              <w:top w:w="80" w:type="dxa"/>
              <w:left w:w="120" w:type="dxa"/>
              <w:bottom w:w="80" w:type="dxa"/>
              <w:right w:w="120" w:type="dxa"/>
            </w:tcMar>
          </w:tcPr>
          <w:p w14:paraId="11371ABE" w14:textId="77777777" w:rsidR="00596F55" w:rsidRDefault="000A5671">
            <w:r>
              <w:rPr>
                <w:sz w:val="20"/>
                <w:szCs w:val="20"/>
              </w:rPr>
              <w:t>Galgotias University</w:t>
            </w:r>
          </w:p>
        </w:tc>
      </w:tr>
      <w:tr w:rsidR="00596F55" w14:paraId="7634582C" w14:textId="77777777">
        <w:tblPrEx>
          <w:tblCellMar>
            <w:top w:w="0" w:type="dxa"/>
            <w:bottom w:w="0" w:type="dxa"/>
          </w:tblCellMar>
        </w:tblPrEx>
        <w:tc>
          <w:tcPr>
            <w:tcW w:w="2200" w:type="dxa"/>
            <w:tcBorders>
              <w:top w:val="single" w:sz="1" w:space="0" w:color="AABBDD"/>
              <w:left w:val="single" w:sz="1" w:space="0" w:color="AABBDD"/>
              <w:bottom w:val="single" w:sz="1" w:space="0" w:color="AABBDD"/>
              <w:right w:val="single" w:sz="1" w:space="0" w:color="AABBDD"/>
            </w:tcBorders>
            <w:shd w:val="clear" w:color="auto" w:fill="EEF4FB"/>
            <w:tcMar>
              <w:top w:w="80" w:type="dxa"/>
              <w:left w:w="120" w:type="dxa"/>
              <w:bottom w:w="80" w:type="dxa"/>
              <w:right w:w="120" w:type="dxa"/>
            </w:tcMar>
          </w:tcPr>
          <w:p w14:paraId="2F2EF95F" w14:textId="77777777" w:rsidR="00596F55" w:rsidRDefault="000A5671">
            <w:r>
              <w:rPr>
                <w:b/>
                <w:bCs/>
                <w:color w:val="0D2B6E"/>
                <w:sz w:val="20"/>
                <w:szCs w:val="20"/>
              </w:rPr>
              <w:t>File Path</w:t>
            </w:r>
          </w:p>
        </w:tc>
        <w:tc>
          <w:tcPr>
            <w:tcW w:w="7160" w:type="dxa"/>
            <w:tcBorders>
              <w:top w:val="single" w:sz="1" w:space="0" w:color="AABBDD"/>
              <w:left w:val="single" w:sz="1" w:space="0" w:color="AABBDD"/>
              <w:bottom w:val="single" w:sz="1" w:space="0" w:color="AABBDD"/>
              <w:right w:val="single" w:sz="1" w:space="0" w:color="AABBDD"/>
            </w:tcBorders>
            <w:shd w:val="clear" w:color="auto" w:fill="FFFFFF"/>
            <w:tcMar>
              <w:top w:w="80" w:type="dxa"/>
              <w:left w:w="120" w:type="dxa"/>
              <w:bottom w:w="80" w:type="dxa"/>
              <w:right w:w="120" w:type="dxa"/>
            </w:tcMar>
          </w:tcPr>
          <w:p w14:paraId="3821728D" w14:textId="77777777" w:rsidR="00596F55" w:rsidRDefault="000A5671">
            <w:r>
              <w:rPr>
                <w:sz w:val="20"/>
                <w:szCs w:val="20"/>
              </w:rPr>
              <w:t>CT&amp;DT-Galgotias-Batch No:5 -Task 8- extempore activity</w:t>
            </w:r>
          </w:p>
        </w:tc>
      </w:tr>
    </w:tbl>
    <w:p w14:paraId="51277EBA" w14:textId="77777777" w:rsidR="00596F55" w:rsidRDefault="00596F55">
      <w:pPr>
        <w:spacing w:before="200" w:after="100"/>
      </w:pPr>
    </w:p>
    <w:p w14:paraId="73359164" w14:textId="77777777" w:rsidR="00596F55" w:rsidRDefault="000A5671">
      <w:pPr>
        <w:pStyle w:val="Heading1"/>
      </w:pPr>
      <w:r>
        <w:t>Extempore Activity — Three Topics</w:t>
      </w:r>
    </w:p>
    <w:p w14:paraId="691791C7" w14:textId="77777777" w:rsidR="00596F55" w:rsidRDefault="000A5671">
      <w:pPr>
        <w:spacing w:after="160"/>
      </w:pPr>
      <w:r>
        <w:rPr>
          <w:i/>
          <w:iCs/>
          <w:color w:val="444444"/>
          <w:sz w:val="20"/>
          <w:szCs w:val="20"/>
        </w:rPr>
        <w:t>The following three impromptu speeches (extempore) have been prepared on the topics: IT in Automobile, IT in Metro Rail, and IT in Avionics. Each speech follows a structured format with an introduction, multiple supporting points with examples, and a strong conclusion — suitable for a 2-3 minute extempore presentation.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6F55" w14:paraId="68DEB10E" w14:textId="77777777">
        <w:tblPrEx>
          <w:tblCellMar>
            <w:top w:w="0" w:type="dxa"/>
            <w:bottom w:w="0" w:type="dxa"/>
          </w:tblCellMar>
        </w:tblPrEx>
        <w:tc>
          <w:tcPr>
            <w:tcW w:w="936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48406139" w14:textId="77777777" w:rsidR="00596F55" w:rsidRDefault="000A5671">
            <w:r>
              <w:rPr>
                <w:b/>
                <w:bCs/>
                <w:color w:val="FFFFFF"/>
                <w:sz w:val="28"/>
                <w:szCs w:val="28"/>
              </w:rPr>
              <w:t>Topic 1: IT in Automobile</w:t>
            </w:r>
          </w:p>
        </w:tc>
      </w:tr>
    </w:tbl>
    <w:p w14:paraId="423B4EC3" w14:textId="77777777" w:rsidR="00596F55" w:rsidRDefault="00596F55">
      <w:pPr>
        <w:spacing w:before="160"/>
      </w:pPr>
    </w:p>
    <w:p w14:paraId="78495F29" w14:textId="77777777" w:rsidR="00596F55" w:rsidRDefault="000A5671">
      <w:pPr>
        <w:spacing w:after="120"/>
      </w:pPr>
      <w:r>
        <w:rPr>
          <w:b/>
          <w:bCs/>
          <w:i/>
          <w:iCs/>
          <w:color w:val="1565C0"/>
          <w:sz w:val="20"/>
          <w:szCs w:val="20"/>
        </w:rPr>
        <w:t xml:space="preserve">[Introduction] </w:t>
      </w:r>
      <w:r>
        <w:t>Good morning everyone. Today I would like to speak about a topic that has quietly transformed an industry we all interact with daily — Information Technology in the Automobile sector.</w:t>
      </w:r>
    </w:p>
    <w:p w14:paraId="31D49D4F" w14:textId="77777777" w:rsidR="00596F55" w:rsidRDefault="000A5671">
      <w:pPr>
        <w:spacing w:after="120"/>
        <w:jc w:val="both"/>
      </w:pPr>
      <w:r>
        <w:t>When we think of cars, we usually picture engines, wheels, and steel bodies. But today's automobile is, in many ways, a computer on wheels. Modern vehicles contain dozens of embedded microprocessors, sensors, and software systems working together every second to keep us safe and comfortable.</w:t>
      </w:r>
    </w:p>
    <w:p w14:paraId="44A3AB74" w14:textId="77777777" w:rsidR="00596F55" w:rsidRDefault="000A5671">
      <w:pPr>
        <w:spacing w:after="120"/>
        <w:jc w:val="both"/>
      </w:pPr>
      <w:r>
        <w:t>Take Electronic Control Units, or ECUs, for example. A single premium car can have over 100 ECUs managing everything from the engine's fuel injection to the airbags, climate control, and infotainment systems. This is pure IT integration — software code running real-time decisions that affect human lives.</w:t>
      </w:r>
    </w:p>
    <w:p w14:paraId="55F54D1E" w14:textId="77777777" w:rsidR="00596F55" w:rsidRDefault="000A5671">
      <w:pPr>
        <w:spacing w:after="120"/>
        <w:jc w:val="both"/>
      </w:pPr>
      <w:r>
        <w:t>Then there is the rise of connected cars. Through IoT, vehicles now communicate with manufacturers, navigation services, and even other cars on the road. Features like real-time traffic rerouting, over-the-air software updates, and predictive maintenance alerts are all powered by IT infrastructure working behind the scenes.</w:t>
      </w:r>
    </w:p>
    <w:p w14:paraId="3E9C58C8" w14:textId="77777777" w:rsidR="00596F55" w:rsidRDefault="000A5671">
      <w:pPr>
        <w:spacing w:after="120"/>
        <w:jc w:val="both"/>
      </w:pPr>
      <w:r>
        <w:t>Autonomous driving technology represents perhaps the most ambitious application. Self-driving cars rely on machine learning models processing data from cameras, radar, and LiDAR sensors thousands of times per second to make split-second driving decisions — decisions that were once purely human judgment calls.</w:t>
      </w:r>
    </w:p>
    <w:p w14:paraId="0F06C52E" w14:textId="77777777" w:rsidR="00596F55" w:rsidRDefault="000A5671">
      <w:pPr>
        <w:spacing w:after="120"/>
        <w:jc w:val="both"/>
      </w:pPr>
      <w:r>
        <w:t>Even the manufacturing process itself has been revolutionized. Robotic assembly lines, guided by precise software algorithms, now build cars with a level of consistency and speed that human hands alone could never achieve, while quality control systems use computer vision to detect even microscopic defects.</w:t>
      </w:r>
    </w:p>
    <w:p w14:paraId="11C724FE" w14:textId="77777777" w:rsidR="00596F55" w:rsidRDefault="000A5671">
      <w:pPr>
        <w:spacing w:after="120"/>
        <w:jc w:val="both"/>
      </w:pPr>
      <w:r>
        <w:t>In conclusion, Information Technology has not just added features to automobiles — it has fundamentally redefined what a vehicle is. As we move toward electric and autonomous vehicles, the line between the automobile industry and the technology industry will continue to blur, creating a future where software, not steel, defines a car's true value. Thank you.</w:t>
      </w:r>
    </w:p>
    <w:p w14:paraId="1FE2EF5B" w14:textId="77777777" w:rsidR="00596F55" w:rsidRDefault="000A567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6F55" w14:paraId="411CFE2F" w14:textId="77777777">
        <w:tblPrEx>
          <w:tblCellMar>
            <w:top w:w="0" w:type="dxa"/>
            <w:bottom w:w="0" w:type="dxa"/>
          </w:tblCellMar>
        </w:tblPrEx>
        <w:tc>
          <w:tcPr>
            <w:tcW w:w="9360" w:type="dxa"/>
            <w:tcBorders>
              <w:top w:val="single" w:sz="4" w:space="0" w:color="2E7D32"/>
              <w:left w:val="single" w:sz="4" w:space="0" w:color="2E7D32"/>
              <w:bottom w:val="single" w:sz="4" w:space="0" w:color="2E7D32"/>
              <w:right w:val="single" w:sz="4" w:space="0" w:color="2E7D32"/>
            </w:tcBorders>
            <w:shd w:val="clear" w:color="auto" w:fill="2E7D32"/>
            <w:tcMar>
              <w:top w:w="100" w:type="dxa"/>
              <w:left w:w="160" w:type="dxa"/>
              <w:bottom w:w="100" w:type="dxa"/>
              <w:right w:w="160" w:type="dxa"/>
            </w:tcMar>
          </w:tcPr>
          <w:p w14:paraId="600529AF" w14:textId="77777777" w:rsidR="00596F55" w:rsidRDefault="000A5671">
            <w:r>
              <w:rPr>
                <w:b/>
                <w:bCs/>
                <w:color w:val="FFFFFF"/>
                <w:sz w:val="28"/>
                <w:szCs w:val="28"/>
              </w:rPr>
              <w:lastRenderedPageBreak/>
              <w:t>Topic 2: IT in Metro Rail</w:t>
            </w:r>
          </w:p>
        </w:tc>
      </w:tr>
    </w:tbl>
    <w:p w14:paraId="1050223A" w14:textId="77777777" w:rsidR="00596F55" w:rsidRDefault="00596F55">
      <w:pPr>
        <w:spacing w:before="160"/>
      </w:pPr>
    </w:p>
    <w:p w14:paraId="6D3DB3AE" w14:textId="77777777" w:rsidR="00596F55" w:rsidRDefault="000A5671">
      <w:pPr>
        <w:spacing w:after="120"/>
      </w:pPr>
      <w:r>
        <w:rPr>
          <w:b/>
          <w:bCs/>
          <w:i/>
          <w:iCs/>
          <w:color w:val="2E7D32"/>
          <w:sz w:val="20"/>
          <w:szCs w:val="20"/>
        </w:rPr>
        <w:t xml:space="preserve">[Introduction] </w:t>
      </w:r>
      <w:r>
        <w:t>Good morning everyone. Today, I want to talk about a system that millions of people rely on every single day without giving much thought to the technology that makes it possible — IT in Metro Rail systems.</w:t>
      </w:r>
    </w:p>
    <w:p w14:paraId="73230548" w14:textId="77777777" w:rsidR="00596F55" w:rsidRDefault="000A5671">
      <w:pPr>
        <w:spacing w:after="120"/>
        <w:jc w:val="both"/>
      </w:pPr>
      <w:r>
        <w:t>Metro rail networks are, at their core, massive real-time information systems. Every train's location, speed, and door status is continuously monitored and transmitted to central control rooms through IT networks, allowing operators to manage hundreds of trains simultaneously with precision.</w:t>
      </w:r>
    </w:p>
    <w:p w14:paraId="218E8ABA" w14:textId="77777777" w:rsidR="00596F55" w:rsidRDefault="000A5671">
      <w:pPr>
        <w:spacing w:after="120"/>
        <w:jc w:val="both"/>
      </w:pPr>
      <w:r>
        <w:t>Consider the Automatic Fare Collection system — the smart cards and QR-code tickets we use daily. Behind that simple tap lies a complex IT infrastructure that processes transactions, manages passenger databases, calculates fares based on distance, and synchronizes data across hundreds of stations in real time.</w:t>
      </w:r>
    </w:p>
    <w:p w14:paraId="746CC6E0" w14:textId="77777777" w:rsidR="00596F55" w:rsidRDefault="000A5671">
      <w:pPr>
        <w:spacing w:after="120"/>
        <w:jc w:val="both"/>
      </w:pPr>
      <w:r>
        <w:t>Signal and train control systems represent the safety backbone of metro operations. Communication-Based Train Control, or CBTC, uses continuous wireless data exchange between trains and trackside systems to maintain safe distances, optimize speeds, and even enable driverless operation on some modern metro lines.</w:t>
      </w:r>
    </w:p>
    <w:p w14:paraId="0C168041" w14:textId="77777777" w:rsidR="00596F55" w:rsidRDefault="000A5671">
      <w:pPr>
        <w:spacing w:after="120"/>
        <w:jc w:val="both"/>
      </w:pPr>
      <w:r>
        <w:t>Passenger information systems — the digital displays announcing train arrival times — rely on GPS tracking and predictive algorithms that calculate arrival times based on current train positions, historical data, and even real-time congestion patterns.</w:t>
      </w:r>
    </w:p>
    <w:p w14:paraId="56430146" w14:textId="77777777" w:rsidR="00596F55" w:rsidRDefault="000A5671">
      <w:pPr>
        <w:spacing w:after="120"/>
        <w:jc w:val="both"/>
      </w:pPr>
      <w:r>
        <w:t>Behind the scenes, IT also powers predictive maintenance. Sensors embedded in tracks, train wheels, and overhead electrical systems continuously stream data to maintenance teams, allowing them to identify and fix potential issues before they cause breakdowns or accidents — shifting maintenance from reactive to proactive.</w:t>
      </w:r>
    </w:p>
    <w:p w14:paraId="6394B517" w14:textId="77777777" w:rsidR="00596F55" w:rsidRDefault="000A5671">
      <w:pPr>
        <w:spacing w:after="120"/>
        <w:jc w:val="both"/>
      </w:pPr>
      <w:r>
        <w:t>In conclusion, the next time you step onto a metro train and glance at the display showing '2 minutes to next train', remember that this simple piece of information is the result of an enormous, interconnected IT ecosystem working silently to keep millions of commuters moving safely and efficiently every single day. Thank you.</w:t>
      </w:r>
    </w:p>
    <w:p w14:paraId="5AF42B50" w14:textId="77777777" w:rsidR="00596F55" w:rsidRDefault="000A5671">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96F55" w14:paraId="6A111B2D" w14:textId="77777777">
        <w:tblPrEx>
          <w:tblCellMar>
            <w:top w:w="0" w:type="dxa"/>
            <w:bottom w:w="0" w:type="dxa"/>
          </w:tblCellMar>
        </w:tblPrEx>
        <w:tc>
          <w:tcPr>
            <w:tcW w:w="9360"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642E94D8" w14:textId="77777777" w:rsidR="00596F55" w:rsidRDefault="000A5671">
            <w:r>
              <w:rPr>
                <w:b/>
                <w:bCs/>
                <w:color w:val="FFFFFF"/>
                <w:sz w:val="28"/>
                <w:szCs w:val="28"/>
              </w:rPr>
              <w:lastRenderedPageBreak/>
              <w:t>Topic 3: IT in Avionics</w:t>
            </w:r>
          </w:p>
        </w:tc>
      </w:tr>
    </w:tbl>
    <w:p w14:paraId="2D4C7F17" w14:textId="77777777" w:rsidR="00596F55" w:rsidRDefault="00596F55">
      <w:pPr>
        <w:spacing w:before="160"/>
      </w:pPr>
    </w:p>
    <w:p w14:paraId="6AB464DA" w14:textId="77777777" w:rsidR="00596F55" w:rsidRDefault="000A5671">
      <w:pPr>
        <w:spacing w:after="120"/>
      </w:pPr>
      <w:r>
        <w:rPr>
          <w:b/>
          <w:bCs/>
          <w:i/>
          <w:iCs/>
          <w:color w:val="E65100"/>
          <w:sz w:val="20"/>
          <w:szCs w:val="20"/>
        </w:rPr>
        <w:t xml:space="preserve">[Introduction] </w:t>
      </w:r>
      <w:r>
        <w:t>Good morning everyone. Today's topic takes us to the skies — to discuss the role of Information Technology in Avionics, the electronic systems that make modern aviation possible.</w:t>
      </w:r>
    </w:p>
    <w:p w14:paraId="258DF4AF" w14:textId="77777777" w:rsidR="00596F55" w:rsidRDefault="000A5671">
      <w:pPr>
        <w:spacing w:after="120"/>
        <w:jc w:val="both"/>
      </w:pPr>
      <w:r>
        <w:t>Avionics is essentially the nervous system of an aircraft. The term itself combines 'aviation' and 'electronics', and refers to all the electronic systems used on aircraft — communication, navigation, and the display and management of multiple systems through onboard computers.</w:t>
      </w:r>
    </w:p>
    <w:p w14:paraId="51F0B038" w14:textId="77777777" w:rsidR="00596F55" w:rsidRDefault="000A5671">
      <w:pPr>
        <w:spacing w:after="120"/>
        <w:jc w:val="both"/>
      </w:pPr>
      <w:r>
        <w:t>The Flight Management System, or FMS, is a prime example of IT's role in aviation. This onboard computer integrates GPS data, flight plans, fuel calculations, and performance data to calculate the most efficient route, automatically guiding the aircraft through much of its journey with minimal pilot intervention.</w:t>
      </w:r>
    </w:p>
    <w:p w14:paraId="19A53B99" w14:textId="77777777" w:rsidR="00596F55" w:rsidRDefault="000A5671">
      <w:pPr>
        <w:spacing w:after="120"/>
        <w:jc w:val="both"/>
      </w:pPr>
      <w:r>
        <w:t>Fly-by-wire technology has replaced traditional mechanical flight controls with electronic interfaces. When a pilot moves the control stick, sensors send electrical signals to flight control computers, which then calculate the optimal control surface movements — adding multiple layers of safety checks that mechanical systems never could.</w:t>
      </w:r>
    </w:p>
    <w:p w14:paraId="72EC1B98" w14:textId="77777777" w:rsidR="00596F55" w:rsidRDefault="000A5671">
      <w:pPr>
        <w:spacing w:after="120"/>
        <w:jc w:val="both"/>
      </w:pPr>
      <w:r>
        <w:t>Communication systems in modern aircraft go far beyond simple radio. Satellite communication systems now allow real-time data transmission between aircraft and ground control, enabling continuous monitoring of engine performance, fuel consumption, and system health — data that can predict maintenance needs before the aircraft even lands.</w:t>
      </w:r>
    </w:p>
    <w:p w14:paraId="66EB8D34" w14:textId="77777777" w:rsidR="00596F55" w:rsidRDefault="000A5671">
      <w:pPr>
        <w:spacing w:after="120"/>
        <w:jc w:val="both"/>
      </w:pPr>
      <w:r>
        <w:t>Air Traffic Management systems represent IT at a massive scale — coordinating thousands of flights simultaneously across global airspace, using radar data, GPS tracking, and predictive algorithms to maintain safe separation between aircraft and optimize traffic flow, especially around busy airports.</w:t>
      </w:r>
    </w:p>
    <w:p w14:paraId="7594EECF" w14:textId="77777777" w:rsidR="00596F55" w:rsidRDefault="000A5671">
      <w:pPr>
        <w:spacing w:after="120"/>
        <w:jc w:val="both"/>
      </w:pPr>
      <w:r>
        <w:t>In conclusion, every flight we take is guided by an extraordinary symphony of software and electronics working in perfect coordination. As aviation moves toward more autonomous systems and electric aircraft, IT in avionics will continue to be the invisible force ensuring that air travel remains the safest mode of transportation in the world. Thank you.</w:t>
      </w:r>
    </w:p>
    <w:sectPr w:rsidR="00596F55">
      <w:headerReference w:type="default" r:id="rId7"/>
      <w:footerReference w:type="default" r:id="rId8"/>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D0531" w14:textId="77777777" w:rsidR="000A5671" w:rsidRDefault="000A5671">
      <w:r>
        <w:separator/>
      </w:r>
    </w:p>
  </w:endnote>
  <w:endnote w:type="continuationSeparator" w:id="0">
    <w:p w14:paraId="23B9CF79" w14:textId="77777777" w:rsidR="000A5671" w:rsidRDefault="000A56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5B78" w14:textId="77777777" w:rsidR="00596F55" w:rsidRDefault="000A5671">
    <w:pPr>
      <w:pBdr>
        <w:top w:val="single" w:sz="4" w:space="1" w:color="0D2B6E"/>
      </w:pBdr>
      <w:spacing w:before="80"/>
      <w:jc w:val="center"/>
    </w:pPr>
    <w:r>
      <w:rPr>
        <w:color w:val="666666"/>
        <w:sz w:val="16"/>
        <w:szCs w:val="16"/>
      </w:rPr>
      <w:t>CT&amp;DT-Galgotias-Batch No:5 -Task 8- extempore activity  |  Batch No. 5  |  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ABBD6" w14:textId="77777777" w:rsidR="000A5671" w:rsidRDefault="000A5671">
      <w:r>
        <w:separator/>
      </w:r>
    </w:p>
  </w:footnote>
  <w:footnote w:type="continuationSeparator" w:id="0">
    <w:p w14:paraId="073D9B39" w14:textId="77777777" w:rsidR="000A5671" w:rsidRDefault="000A56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0B79B" w14:textId="77777777" w:rsidR="00596F55" w:rsidRDefault="000A5671">
    <w:pPr>
      <w:pBdr>
        <w:bottom w:val="single" w:sz="6" w:space="1" w:color="0D2B6E"/>
      </w:pBdr>
      <w:spacing w:after="80"/>
    </w:pPr>
    <w:r>
      <w:rPr>
        <w:color w:val="1A4A9C"/>
        <w:sz w:val="18"/>
        <w:szCs w:val="18"/>
      </w:rPr>
      <w:t>Galgotias University  |  CTDT Course</w:t>
    </w:r>
    <w:r>
      <w:rPr>
        <w:b/>
        <w:bCs/>
        <w:color w:val="0D2B6E"/>
        <w:sz w:val="18"/>
        <w:szCs w:val="18"/>
      </w:rPr>
      <w:t xml:space="preserve">    Task #08 — Extempore Activity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837"/>
    <w:multiLevelType w:val="hybridMultilevel"/>
    <w:tmpl w:val="9BDA928C"/>
    <w:lvl w:ilvl="0" w:tplc="7264FC3A">
      <w:start w:val="1"/>
      <w:numFmt w:val="bullet"/>
      <w:lvlText w:val="●"/>
      <w:lvlJc w:val="left"/>
      <w:pPr>
        <w:ind w:left="720" w:hanging="360"/>
      </w:pPr>
    </w:lvl>
    <w:lvl w:ilvl="1" w:tplc="CB169F7E">
      <w:start w:val="1"/>
      <w:numFmt w:val="bullet"/>
      <w:lvlText w:val="○"/>
      <w:lvlJc w:val="left"/>
      <w:pPr>
        <w:ind w:left="1440" w:hanging="360"/>
      </w:pPr>
    </w:lvl>
    <w:lvl w:ilvl="2" w:tplc="39EC8428">
      <w:start w:val="1"/>
      <w:numFmt w:val="bullet"/>
      <w:lvlText w:val="■"/>
      <w:lvlJc w:val="left"/>
      <w:pPr>
        <w:ind w:left="2160" w:hanging="360"/>
      </w:pPr>
    </w:lvl>
    <w:lvl w:ilvl="3" w:tplc="71147BF4">
      <w:start w:val="1"/>
      <w:numFmt w:val="bullet"/>
      <w:lvlText w:val="●"/>
      <w:lvlJc w:val="left"/>
      <w:pPr>
        <w:ind w:left="2880" w:hanging="360"/>
      </w:pPr>
    </w:lvl>
    <w:lvl w:ilvl="4" w:tplc="C55AB7AC">
      <w:start w:val="1"/>
      <w:numFmt w:val="bullet"/>
      <w:lvlText w:val="○"/>
      <w:lvlJc w:val="left"/>
      <w:pPr>
        <w:ind w:left="3600" w:hanging="360"/>
      </w:pPr>
    </w:lvl>
    <w:lvl w:ilvl="5" w:tplc="B044AD20">
      <w:start w:val="1"/>
      <w:numFmt w:val="bullet"/>
      <w:lvlText w:val="■"/>
      <w:lvlJc w:val="left"/>
      <w:pPr>
        <w:ind w:left="4320" w:hanging="360"/>
      </w:pPr>
    </w:lvl>
    <w:lvl w:ilvl="6" w:tplc="239A4A04">
      <w:start w:val="1"/>
      <w:numFmt w:val="bullet"/>
      <w:lvlText w:val="●"/>
      <w:lvlJc w:val="left"/>
      <w:pPr>
        <w:ind w:left="5040" w:hanging="360"/>
      </w:pPr>
    </w:lvl>
    <w:lvl w:ilvl="7" w:tplc="FF306FD0">
      <w:start w:val="1"/>
      <w:numFmt w:val="bullet"/>
      <w:lvlText w:val="●"/>
      <w:lvlJc w:val="left"/>
      <w:pPr>
        <w:ind w:left="5760" w:hanging="360"/>
      </w:pPr>
    </w:lvl>
    <w:lvl w:ilvl="8" w:tplc="00EE1F7C">
      <w:start w:val="1"/>
      <w:numFmt w:val="bullet"/>
      <w:lvlText w:val="●"/>
      <w:lvlJc w:val="left"/>
      <w:pPr>
        <w:ind w:left="6480" w:hanging="360"/>
      </w:pPr>
    </w:lvl>
  </w:abstractNum>
  <w:num w:numId="1" w16cid:durableId="2551409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F55"/>
    <w:rsid w:val="000A5671"/>
    <w:rsid w:val="002D64C1"/>
    <w:rsid w:val="00596F55"/>
    <w:rsid w:val="009E2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5A404"/>
  <w15:docId w15:val="{3D3A1317-5E6C-4226-989E-A1F7E7627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60"/>
      <w:outlineLvl w:val="0"/>
    </w:pPr>
    <w:rPr>
      <w:b/>
      <w:bCs/>
      <w:color w:val="0D2B6E"/>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1052</Words>
  <Characters>5998</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Shahil kumar Goyal</cp:lastModifiedBy>
  <cp:revision>2</cp:revision>
  <dcterms:created xsi:type="dcterms:W3CDTF">2026-06-14T19:35:00Z</dcterms:created>
  <dcterms:modified xsi:type="dcterms:W3CDTF">2026-06-14T19:35:00Z</dcterms:modified>
</cp:coreProperties>
</file>