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İğrek Makina ile çalışmaya başladığımızda onlara döküm için müşteri aramaya karar verdik. Mevcut müşterileri ağırlıklı olarak otomotiv sanayindendi. Burada kalıpçı firmaları, stamping firmalarını hedeflemeye karar verdik.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İğrek Döküm için 20 domain aldık.(Düzenleyelim.)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Burada İğrek dökümün dökümleri yüksek tonajlı olduğu için bütün kalıpçılar ve stamping firmaları hedefimize uygun değildi. Küçük parça işleyen kalıpçılar ve küçük parçalara stamping yapan firmaları hedefimizden çıkarmamız gerekiyordu. Burada kendi yazılımımız ve global data baseler aracılığı ile 9000+ firma belirledik. Bu firmalar avrupa ve kuzey amerikada yer alan firmalardır.</w:t>
        <w:br w:type="textWrapping"/>
        <w:br w:type="textWrapping"/>
        <w:t xml:space="preserve">Sonrasında bu firmaları yapay zeka ile inceledik. İlk önce firmaları segmente ettik. Segmente ederken dökümhanesi bulunan firmalar, plastik üzerine çalışan firmalar, body-in-white(BIW)(bizim en ideal müşteri profilimiz), Ağır Makine Üreticilerini segmente ettik. Bu firmaları 0-100 arasında skorladık ve sadece bizim için ideal müşteri olanlan 1800+ firma hedefimiz kaldı.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İğrek dökümhanesinin rakiplerinden farklılaştığı ve özelleşebileceği özelliklerini çalıştık. Burada dikkat çeken özelliklerimiz tedarik süremizin rakiplerimizden hızlı olması, hatasız ürün çıkarmamız (hatalı ürün tedarik süresini uzatıyor), tek parça yüksek döküm kapasitemiz ve toplam döküm kapasitemizle hedef müşterilerimizle iletişime geçmeye başladık.</w:t>
        <w:br w:type="textWrapping"/>
        <w:br w:type="textWrapping"/>
        <w:t xml:space="preserve">Arama ve mail kampanyaları düzenledik. Arama kampanyamızın ilk hafrasında İrlanda’dan potansiyel müşteri adayımız olan pres firması Bursaya fabrikamızı ziyarete geldi. Mail kampanlayarımız devam ediyor.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Body-in-white firmalarının sayıları az olduğu için hedef pazarımızı genişletmeye karar verdik ve ağır sanayi iş makinası imalatçılarını da hedefledik ve burada 5300 tane firma tespit ettik.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