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Services</w:t>
      </w:r>
    </w:p>
    <w:p>
      <w:r>
        <w:t>Acme Maintenance will provide planned and reactive maintenance at the Northwind site.</w:t>
      </w:r>
    </w:p>
    <w:p>
      <w:r>
        <w:t>The services include the following deliverables:</w:t>
      </w:r>
    </w:p>
    <w:p>
      <w:pPr>
        <w:pStyle w:val="ListBullet"/>
      </w:pPr>
      <w:r>
        <w:t>Monthly inspection report</w:t>
      </w:r>
    </w:p>
    <w:p>
      <w:pPr>
        <w:pStyle w:val="ListBullet"/>
      </w:pPr>
      <w:r>
        <w:t>Quarterly safety audit</w:t>
      </w:r>
    </w:p>
    <w:p>
      <w:pPr>
        <w:pStyle w:val="ListBullet"/>
      </w:pPr>
      <w:r>
        <w:t>Annual equipment review</w:t>
      </w:r>
    </w:p>
    <w:p>
      <w:pPr>
        <w:pStyle w:val="Heading1"/>
      </w:pPr>
      <w:r>
        <w:t>2. Fees and Payment</w:t>
      </w:r>
    </w:p>
    <w:p>
      <w:r>
        <w:t>Invoices are payable within 30 days of the invoice date.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Frequency</w:t>
            </w:r>
          </w:p>
        </w:tc>
      </w:tr>
      <w:tr>
        <w:tc>
          <w:tcPr>
            <w:tcW w:type="dxa" w:w="2880"/>
          </w:tcPr>
          <w:p>
            <w:r>
              <w:t>Planned maintenance</w:t>
            </w:r>
          </w:p>
        </w:tc>
        <w:tc>
          <w:tcPr>
            <w:tcW w:type="dxa" w:w="2880"/>
          </w:tcPr>
          <w:p>
            <w:r>
              <w:t>$4,500</w:t>
            </w:r>
          </w:p>
        </w:tc>
        <w:tc>
          <w:tcPr>
            <w:tcW w:type="dxa" w:w="2880"/>
          </w:tcPr>
          <w:p>
            <w:r>
              <w:t>Monthly</w:t>
            </w:r>
          </w:p>
        </w:tc>
      </w:tr>
      <w:tr>
        <w:tc>
          <w:tcPr>
            <w:tcW w:type="dxa" w:w="2880"/>
          </w:tcPr>
          <w:p>
            <w:r>
              <w:t>Reactive call-out</w:t>
            </w:r>
          </w:p>
        </w:tc>
        <w:tc>
          <w:tcPr>
            <w:tcW w:type="dxa" w:w="2880"/>
          </w:tcPr>
          <w:p>
            <w:r>
              <w:t>$250</w:t>
            </w:r>
          </w:p>
        </w:tc>
        <w:tc>
          <w:tcPr>
            <w:tcW w:type="dxa" w:w="2880"/>
          </w:tcPr>
          <w:p>
            <w:r>
              <w:t>Per visit</w:t>
            </w:r>
          </w:p>
        </w:tc>
      </w:tr>
      <w:tr>
        <w:tc>
          <w:tcPr>
            <w:tcW w:type="dxa" w:w="2880"/>
          </w:tcPr>
          <w:p>
            <w:r>
              <w:t>Safety audit</w:t>
            </w:r>
          </w:p>
        </w:tc>
        <w:tc>
          <w:tcPr>
            <w:tcW w:type="dxa" w:w="2880"/>
          </w:tcPr>
          <w:p>
            <w:r>
              <w:t>$1,200</w:t>
            </w:r>
          </w:p>
        </w:tc>
        <w:tc>
          <w:tcPr>
            <w:tcW w:type="dxa" w:w="2880"/>
          </w:tcPr>
          <w:p>
            <w:r>
              <w:t>Quarterly</w:t>
            </w:r>
          </w:p>
        </w:tc>
      </w:tr>
    </w:tbl>
    <w:p>
      <w:r>
        <w:t>Late payments incur interest of 1.5% per month.</w:t>
      </w:r>
    </w:p>
    <w:p>
      <w:pPr>
        <w:pStyle w:val="Heading1"/>
      </w:pPr>
      <w:r>
        <w:t>3. Term and Termination</w:t>
      </w:r>
    </w:p>
    <w:p>
      <w:r>
        <w:t>This agreement starts on 1 October 2026 and runs for 24 months.</w:t>
      </w:r>
    </w:p>
    <w:p>
      <w:r>
        <w:t>Either party may terminate this agreement with 60 days written notice.</w:t>
      </w:r>
    </w:p>
    <w:p>
      <w:pPr>
        <w:pStyle w:val="Heading2"/>
      </w:pPr>
      <w:r>
        <w:t>3.1 Termination steps</w:t>
      </w:r>
    </w:p>
    <w:p>
      <w:pPr>
        <w:pStyle w:val="ListNumber"/>
      </w:pPr>
      <w:r>
        <w:t>Send written notice to the other party</w:t>
      </w:r>
    </w:p>
    <w:p>
      <w:pPr>
        <w:pStyle w:val="ListNumber"/>
      </w:pPr>
      <w:r>
        <w:t>Agree a handover plan</w:t>
      </w:r>
    </w:p>
    <w:p>
      <w:pPr>
        <w:pStyle w:val="ListNumber"/>
      </w:pPr>
      <w:r>
        <w:t>Return all site access cards</w:t>
      </w:r>
    </w:p>
    <w:p>
      <w:pPr>
        <w:pStyle w:val="Heading1"/>
      </w:pPr>
      <w:r>
        <w:t>4. Governing Law</w:t>
      </w:r>
    </w:p>
    <w:p>
      <w:r>
        <w:t>This agreement is governed by the laws of the State of Delaware.</w:t>
      </w:r>
    </w:p>
    <w:p>
      <w:r>
        <w:t xml:space="preserve">The full standard terms are published at </w:t>
      </w:r>
      <w:hyperlink r:id="rId9">
        <w:r>
          <w:rPr>
            <w:rStyle w:val="Hyperlink"/>
          </w:rPr>
          <w:t>acme.example.com/terms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cme.example.com/ter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Services Agreement</dc:title>
  <dc:subject>Northwind Facilities and Acme Maintenance</dc:subject>
  <dc:creator>Legal Operations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