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pPr>
        <w:pStyle w:val="ListBullet"/>
      </w:pPr>
      <w:r>
        <w:t>Working knowledge of the state language</w:t>
      </w:r>
    </w:p>
    <w:p>
      <w:r>
        <w:t>Maximum age: 30 years. Last date: 30 September 2026. Total vacancies: 934.</w:t>
      </w:r>
    </w:p>
    <w:p>
      <w:pPr>
        <w:pStyle w:val="Heading1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