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E2A84"/>
          <w:sz w:val="24"/>
        </w:rPr>
        <w:t>Northwestern University · Feinberg School of Medicine</w:t>
      </w:r>
    </w:p>
    <w:p>
      <w:r>
        <w:rPr>
          <w:color w:val="4E2A84"/>
        </w:rPr>
        <w:t>eIRB+ Protocol — Retrospective Medical Record Review (DRAFT)</w:t>
      </w:r>
    </w:p>
    <w:p>
      <w:r>
        <w:rPr>
          <w:b/>
          <w:sz w:val="26"/>
        </w:rPr>
        <w:t>Contralateral Cervical Nodal Metastasis in HPV-Associated Oropharyngeal Squamous Cell Carcinoma Treated with Primary Transoral Surgery: A Retrospective Cohort Study</w:t>
      </w:r>
    </w:p>
    <w:p>
      <w:r>
        <w:t>IRB #: STU________   Version 0.1   2026-10-28</w:t>
      </w:r>
    </w:p>
    <w:p>
      <w:r>
        <w:rPr>
          <w:i/>
          <w:sz w:val="18"/>
        </w:rPr>
        <w:t>DRAFT for PI review. Transfer each section into the current NU HRP-503 / eIRB+ smart-form fields. Section headings follow the standard chart-review structure; check them against the template downloaded from irb.northwestern.edu.</w:t>
      </w:r>
    </w:p>
    <w:p>
      <w:pPr>
        <w:pStyle w:val="Heading2"/>
      </w:pPr>
      <w:r>
        <w:rPr>
          <w:color w:val="4E2A84"/>
        </w:rPr>
        <w:t>1. Study Information</w:t>
      </w:r>
    </w:p>
    <w:p>
      <w:r>
        <w:t>Full title: Contralateral Cervical Nodal Metastasis in HPV-Associated Oropharyngeal Squamous Cell Carcinoma Treated with Primary Transoral Surgery: A Retrospective Cohort Study</w:t>
      </w:r>
    </w:p>
    <w:p>
      <w:r>
        <w:t>Short title: CONTRA-OPC</w:t>
      </w:r>
    </w:p>
    <w:p>
      <w:r>
        <w:t>Principal Investigator: Sandeep Samant, MD, Department of Otolaryngology–Head and Neck Surgery, Feinberg School of Medicine. [Confirm CITI status]</w:t>
      </w:r>
    </w:p>
    <w:p>
      <w:r>
        <w:t>Co-Investigators: [Radiation Oncology], [Neuroradiology], [Head &amp; Neck Pathology], [Biostatistics], [Resident/Fellow abstractors]. All must have current CITI Human Subjects and HIPAA training.</w:t>
      </w:r>
    </w:p>
    <w:p>
      <w:r>
        <w:t>Funding: Unfunded (departmental). FDA-regulated: No.</w:t>
      </w:r>
    </w:p>
    <w:p>
      <w:r>
        <w:t>Requested review: Expedited, 45 CFR 46.110 Category 5 (research involving materials collected solely for non-research purposes). Requested: Waiver of informed consent (45 CFR 46.116(f)) and Waiver of HIPAA Authorization (45 CFR 164.512(i)).</w:t>
      </w:r>
    </w:p>
    <w:p>
      <w:r>
        <w:t>Cancer-related study: route to the Lurie Cancer Center Scientific Review Committee if required by current policy. [PI to confirm]</w:t>
      </w:r>
    </w:p>
    <w:p>
      <w:pPr>
        <w:pStyle w:val="Heading2"/>
      </w:pPr>
      <w:r>
        <w:rPr>
          <w:color w:val="4E2A84"/>
        </w:rPr>
        <w:t>2. Objectives</w:t>
      </w:r>
    </w:p>
    <w:p>
      <w:r>
        <w:t>Primary: To determine the rate of occult pathologic contralateral cervical nodal metastasis in patients with HPV-associated (p16-positive) oropharyngeal squamous cell carcinoma (OPSCC) who underwent bilateral neck dissection with a radiologically negative contralateral neck, stratified by the indication for contralateral dissection (base-of-tongue primary, base-of-tongue extension, soft-palate extension, equivocal contralateral node).</w:t>
      </w:r>
    </w:p>
    <w:p>
      <w:r>
        <w:t>Secondary: (a) To determine whether ipsilateral nodal burden (number of positive nodes, extranodal extension, level of involvement) predicts contralateral metastasis. (b) To determine the cumulative incidence of contralateral regional failure after ipsilateral neck dissection, stratified by whether the contralateral neck received adjuvant radiation. (c) To measure inter-rater reliability of assessing base-of-tongue and soft-palate involvement and distance from midline. (d) To describe the levels and size of occult contralateral deposits, the morbidity of contralateral dissection, and outcomes of salvage after contralateral failure.</w:t>
      </w:r>
    </w:p>
    <w:p>
      <w:pPr>
        <w:pStyle w:val="Heading2"/>
      </w:pPr>
      <w:r>
        <w:rPr>
          <w:color w:val="4E2A84"/>
        </w:rPr>
        <w:t>3. Background and Significance</w:t>
      </w:r>
    </w:p>
    <w:p>
      <w:r>
        <w:t>HPV-associated oropharyngeal squamous cell carcinoma (OPSCC) now makes up most oropharyngeal cancer in the United States. Patients are younger and live longer, so the long-term toxicity of treatment matters more. Treating both sides of the neck, whether with dissection or radiation, adds dysphagia, xerostomia, and feeding-tube dependence. Treating only the ipsilateral neck spares the opposite-side salivary and swallowing structures.</w:t>
      </w:r>
    </w:p>
    <w:p>
      <w:r>
        <w:t>For well-lateralized tonsil cancer, ipsilateral radiation is supported by retrospective series and pooled analyses. Pooled contralateral failure is about 2–3% (Al-Mamgani, Oral Oncol 2017; Razavian, JAMA Netw Open 2023). The 2017 ASTRO guideline strongly recommends ipsilateral radiation for T1–2 N0–1 tonsil cancer without soft-palate or base-of-tongue (BOT) involvement. It only conditionally recommends it for patients with multiple ipsilateral nodes (AJCC-7 N2b) or under 1 cm of palate extension (Sher, Pract Radiat Oncol 2017). For N2b disease, reported contralateral failure ranges from 0% to 14% (Frankart 2022; Natesan 2023; KROG 11-07; Maskell 2019), and multiple nodes and extranodal extension have been linked to contralateral recurrence (Lynch, Oral Oncol 2014). An international survey found that nearly all clinicians treat small node-negative lateralized tonsil cancers ipsilaterally. With soft-palate or BOT extension, midline proximity, or a higher nodal burden, however, most radiation oncologists treat both necks. This reflects uncertainty about the true contralateral risk (Oral Oncol 2021). The Canadian Cancer Trials Group HN.11 (SELECT, NCT05451004) trial is testing whether SPECT-CT lymphatic mapping can safely select which lateralized cancers need contralateral neck treatment.</w:t>
      </w:r>
    </w:p>
    <w:p>
      <w:r>
        <w:t>Pathologic data from the contralateral neck are the most direct measure of occult disease. In HPV-positive BOT cancers treated with transoral surgery and bilateral neck dissection, occult contralateral metastasis was 21% (Last, JAMA Otolaryngol 2020). In cT1–2 cohorts it ranged from 2% to 13%, associated with clinical N category, multiple ipsilateral nodes, and extranodal extension (Yao, Head Neck 2021; Kornfeld 2024). No published series has reported contralateral pathologic nodal status by the number of ipsilateral positive nodes together with measured palate or BOT extension. Nor has any study measured how reliably clinicians judge "palate involvement" or "BOT involvement," even though these judgments drive the decision to treat the opposite neck.</w:t>
      </w:r>
    </w:p>
    <w:p>
      <w:r>
        <w:t>Since 2015, Northwestern has treated more than 250 patients with OPSCC with primary transoral surgery. About 75–80 of them had bilateral neck dissection for BOT primary, BOT or palate extension, or an equivocal contralateral node. This cohort provides pathologic ground truth for the contralateral neck in exactly the scenarios where practice is most divided. The remaining patients, treated with ipsilateral dissection, show contralateral failure rates according to the adjuvant radiation fields actually delivered. These results will add to the evidence base on which HN.11 and future de-escalation strategies rest.</w:t>
      </w:r>
    </w:p>
    <w:p>
      <w:pPr>
        <w:pStyle w:val="Heading2"/>
      </w:pPr>
      <w:r>
        <w:rPr>
          <w:color w:val="4E2A84"/>
        </w:rPr>
        <w:t>4. Study Design</w:t>
      </w:r>
    </w:p>
    <w:p>
      <w:r>
        <w:t>Single-institution retrospective cohort study (medical record review) of patients treated at Northwestern Memorial Hospital / Northwestern Medicine. No contact with subjects. No change to care. The review covers records existing from 2015-01-01 through the date of data lock. We request that follow-up data recorded in the medical record after IRB approval and up to [date, e.g., 2028-12-31] be included, so that contralateral failure outcomes can be captured. [Confirm with IRB whether this requires designation as a retrospective/prospective chart review.]</w:t>
      </w:r>
    </w:p>
    <w:p>
      <w:pPr>
        <w:pStyle w:val="Heading2"/>
      </w:pPr>
      <w:r>
        <w:rPr>
          <w:color w:val="4E2A84"/>
        </w:rPr>
        <w:t>5. Inclusion and Exclusion Criteria</w:t>
      </w:r>
    </w:p>
    <w:p>
      <w:r>
        <w:t>Inclusion: (1) Age ≥18 years at diagnosis. (2) Biopsy-proven squamous cell carcinoma of the oropharynx (tonsil, base of tongue, soft palate, pharyngeal wall), or unknown primary localized to the oropharynx at surgery. (3) Primary surgical treatment (transoral or open) with neck dissection at Northwestern Medicine between 2015-01-01 and [IRB approval date].</w:t>
      </w:r>
    </w:p>
    <w:p>
      <w:r>
        <w:t>p16-negative cases are included as a separate comparison group and are not pooled with p16-positive cases.</w:t>
      </w:r>
    </w:p>
    <w:p>
      <w:r>
        <w:t>Exclusion: (1) Prior head and neck cancer or prior neck radiation or dissection. (2) Distant metastasis at diagnosis. (3) Treatment of the primary with intent other than cure. (4) Primary surgery done elsewhere with only adjuvant care at Northwestern, if operative or pathology records are unavailable.</w:t>
      </w:r>
    </w:p>
    <w:p>
      <w:r>
        <w:t>Vulnerable populations: None targeted. Records of prisoners, pregnant women, or decisionally impaired adults may be incidentally included. No contact occurs, so no additional risk arises.</w:t>
      </w:r>
    </w:p>
    <w:p>
      <w:pPr>
        <w:pStyle w:val="Heading2"/>
      </w:pPr>
      <w:r>
        <w:rPr>
          <w:color w:val="4E2A84"/>
        </w:rPr>
        <w:t>6. Number of Subjects</w:t>
      </w:r>
    </w:p>
    <w:p>
      <w:r>
        <w:t>Approximately 250–300 records (estimated ≥250 surgically treated OPSCC since 2015, of whom ~75–80 underwent bilateral neck dissection). Sample size is set by the available cohort. Precision estimates: with 78 contralateral cN0 dissections and an observed occult rate of 10%, the exact 95% CI is ~4.5–19%.</w:t>
      </w:r>
    </w:p>
    <w:p>
      <w:pPr>
        <w:pStyle w:val="Heading2"/>
      </w:pPr>
      <w:r>
        <w:rPr>
          <w:color w:val="4E2A84"/>
        </w:rPr>
        <w:t>7. Procedures Involved / Data Collection</w:t>
      </w:r>
    </w:p>
    <w:p>
      <w:r>
        <w:t>Cohort identification: A Northwestern Medicine Enterprise Data Warehouse (NMEDW) query by ICD-10 (C01, C09.x, C10.x, C14.2, C77.0 with oropharyngeal primary) and CPT codes for transoral oropharyngeal resection and neck dissection (e.g., 42842–42845, 42890, 42894, 41120–41155, 38720, 38724), cross-checked against surgeon case logs.</w:t>
      </w:r>
    </w:p>
    <w:p>
      <w:r>
        <w:t>Data abstraction: Trained study team members will abstract data from Epic, pathology reports, imaging, and radiation treatment planning systems directly into a Northwestern REDCap database. Variables include demographics (age, sex, smoking history), tumor characteristics (subsite, laterality, base-of-tongue/palate extension, p16/HPV status, T stage), clinical and pathologic nodal findings for each side of the neck, adjuvant treatment fields and doses, complications, and recurrence and survival outcomes. See the attached data dictionary.</w:t>
      </w:r>
    </w:p>
    <w:p>
      <w:r>
        <w:t>Blinded imaging re-review: A head and neck radiologist, blinded to pathology and outcome, will re-read pre-treatment imaging for contralateral nodal status and the primary tumor's distance from midline.</w:t>
      </w:r>
    </w:p>
    <w:p>
      <w:r>
        <w:t>Inter-rater reliability: Two reviewers will independently classify base-of-tongue and palate involvement from imaging and operative/clinical documentation.</w:t>
      </w:r>
    </w:p>
    <w:p>
      <w:r>
        <w:t>No biospecimens will be collected. [If pathology slide re-review for micrometastases is planned, add it here; it uses existing archived slides only.]</w:t>
      </w:r>
    </w:p>
    <w:p>
      <w:pPr>
        <w:pStyle w:val="Heading2"/>
      </w:pPr>
      <w:r>
        <w:rPr>
          <w:color w:val="4E2A84"/>
        </w:rPr>
        <w:t>8. Risks to Subjects</w:t>
      </w:r>
    </w:p>
    <w:p>
      <w:r>
        <w:t>This study is minimal risk. The only foreseeable risk is a breach of confidentiality. We minimize it by storing data only in NU REDCap, limiting access to IRB-approved study personnel, coding records with a study ID, removing direct identifiers from the analytic dataset, and reporting only aggregate results.</w:t>
      </w:r>
    </w:p>
    <w:p>
      <w:pPr>
        <w:pStyle w:val="Heading2"/>
      </w:pPr>
      <w:r>
        <w:rPr>
          <w:color w:val="4E2A84"/>
        </w:rPr>
        <w:t>9. Potential Benefits</w:t>
      </w:r>
    </w:p>
    <w:p>
      <w:r>
        <w:t>No direct benefit to subjects. The results may help define which patients can safely avoid treatment of the opposite side of the neck, which could reduce treatment toxicity for future patients.</w:t>
      </w:r>
    </w:p>
    <w:p>
      <w:pPr>
        <w:pStyle w:val="Heading2"/>
      </w:pPr>
      <w:r>
        <w:rPr>
          <w:color w:val="4E2A84"/>
        </w:rPr>
        <w:t>10. Data Management and Confidentiality</w:t>
      </w:r>
    </w:p>
    <w:p>
      <w:r>
        <w:t>Storage: NU REDCap (HIPAA-compliant, managed by NUCATS/NU IT). The master link between study ID and MRN will be kept in identifier-flagged REDCap fields, or in a separate access-restricted file on Northwestern secure storage. It will not be stored on personal devices, personal network storage, or cloud services not approved by NU.</w:t>
      </w:r>
    </w:p>
    <w:p>
      <w:r>
        <w:t>Analytic dataset: Exported without direct identifiers. Dates converted to intervals (days from surgery). Analyzed on NU-managed computers or via NU VPN.</w:t>
      </w:r>
    </w:p>
    <w:p>
      <w:r>
        <w:t>Access: PI and IRB-approved study team only. Audit trail via REDCap.</w:t>
      </w:r>
    </w:p>
    <w:p>
      <w:r>
        <w:t>Sharing: Only aggregate results will be published. Any future multi-institutional pooling will use a limited or de-identified dataset under a Data Use Agreement and an IRB amendment.</w:t>
      </w:r>
    </w:p>
    <w:p>
      <w:r>
        <w:t>Retention: Data will be kept for at least 7 years after study closure per NU policy, then destroyed. The identifier link will be destroyed at the earliest point consistent with research needs.</w:t>
      </w:r>
    </w:p>
    <w:p>
      <w:pPr>
        <w:pStyle w:val="Heading2"/>
      </w:pPr>
      <w:r>
        <w:rPr>
          <w:color w:val="4E2A84"/>
        </w:rPr>
        <w:t>11. Waiver of Informed Consent — Justification (45 CFR 46.116(f))</w:t>
      </w:r>
    </w:p>
    <w:p>
      <w:r>
        <w:t>(1) Minimal risk: Record review only. No interaction or intervention.</w:t>
      </w:r>
    </w:p>
    <w:p>
      <w:r>
        <w:t>(2) Impracticable without the waiver: The cohort spans 2015–present and has ~250–300 patients. A meaningful proportion have died, moved, or been lost to follow-up. Consenting only reachable patients would bias the cohort toward survivors without recurrence, which is the outcome under study.</w:t>
      </w:r>
    </w:p>
    <w:p>
      <w:r>
        <w:t>(3) Identifiable information is necessary: Records must be linked across surgery, pathology, imaging, radiation planning, and follow-up encounters, which requires identifiers during abstraction.</w:t>
      </w:r>
    </w:p>
    <w:p>
      <w:r>
        <w:t>(4) Rights and welfare not adversely affected: No clinical decisions are affected, and confidentiality protections are in place.</w:t>
      </w:r>
    </w:p>
    <w:p>
      <w:r>
        <w:t>(5) Additional information to subjects: Not applicable. Results are aggregate and have no individual clinical significance.</w:t>
      </w:r>
    </w:p>
    <w:p>
      <w:pPr>
        <w:pStyle w:val="Heading2"/>
      </w:pPr>
      <w:r>
        <w:rPr>
          <w:color w:val="4E2A84"/>
        </w:rPr>
        <w:t>12. Waiver of HIPAA Authorization — Justification (45 CFR 164.512(i)(2)(ii))</w:t>
      </w:r>
    </w:p>
    <w:p>
      <w:r>
        <w:t>PHI to be used: name and MRN (linkage only); dates of diagnosis, surgery, radiation, recurrence, and last follow-up/death (converted to intervals); age; pathology, imaging, operative, and radiation treatment records related to the oropharyngeal cancer.</w:t>
      </w:r>
    </w:p>
    <w:p>
      <w:r>
        <w:t>(a) Minimal risk to privacy: An adequate plan protects identifiers (Section 10). Identifiers will be destroyed at the earliest opportunity consistent with the research, and PHI will not be reused or disclosed except as required by law, for oversight, or for IRB-approved research.</w:t>
      </w:r>
    </w:p>
    <w:p>
      <w:r>
        <w:t>(b) Impracticable without the waiver: See Section 11(2).</w:t>
      </w:r>
    </w:p>
    <w:p>
      <w:r>
        <w:t>(c) Impracticable without access to PHI: Linking records across encounters requires identifiers.</w:t>
      </w:r>
    </w:p>
    <w:p>
      <w:r>
        <w:t>Minimum necessary: Only the data elements listed in the data dictionary will be collected.</w:t>
      </w:r>
    </w:p>
    <w:p>
      <w:pPr>
        <w:pStyle w:val="Heading2"/>
      </w:pPr>
      <w:r>
        <w:rPr>
          <w:color w:val="4E2A84"/>
        </w:rPr>
        <w:t>13. Study Timeline</w:t>
      </w:r>
    </w:p>
    <w:p>
      <w:r>
        <w:t>IRB approval → REDCap build and NMEDW query (weeks 0–6) → abstraction and blinded re-read (weeks 6–16) → analysis (weeks 16–18) → dissemination (weeks 18–24). The study remains open for follow-up updates through [date].</w:t>
      </w:r>
    </w:p>
    <w:p>
      <w:pPr>
        <w:pStyle w:val="Heading2"/>
      </w:pPr>
      <w:r>
        <w:rPr>
          <w:color w:val="4E2A84"/>
        </w:rPr>
        <w:t>14. Attachments to Upload in eIRB</w:t>
      </w:r>
    </w:p>
    <w:p>
      <w:r>
        <w:t>☐ This protocol   ☐ REDCap data dictionary (03_data_collection/redcap_data_dictionary.csv)   ☐ NMEDW data request form   ☐ Lurie SRC approval (if required)   ☐ CITI certificates for all personnel   ☐ COI disclosures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CONTRA-OPC IRB Protocol · Version 0.1 · 2026-10-28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